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DD6EE" w:themeColor="accent1" w:themeTint="66"/>
  <w:body>
    <w:p w14:paraId="18E24B55" w14:textId="16521227" w:rsidR="00FC7B06" w:rsidRDefault="6BEA11AD">
      <w:r>
        <w:rPr>
          <w:noProof/>
        </w:rPr>
        <w:drawing>
          <wp:anchor distT="0" distB="0" distL="114300" distR="114300" simplePos="0" relativeHeight="251658240" behindDoc="0" locked="0" layoutInCell="1" allowOverlap="1" wp14:anchorId="1ED396DE" wp14:editId="441C5D5D">
            <wp:simplePos x="0" y="0"/>
            <wp:positionH relativeFrom="column">
              <wp:align>right</wp:align>
            </wp:positionH>
            <wp:positionV relativeFrom="paragraph">
              <wp:posOffset>0</wp:posOffset>
            </wp:positionV>
            <wp:extent cx="1837944" cy="1770888"/>
            <wp:effectExtent l="0" t="0" r="0" b="0"/>
            <wp:wrapNone/>
            <wp:docPr id="574874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743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7944" cy="1770888"/>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234A9F" w:rsidRDefault="00234A9F"/>
    <w:p w14:paraId="0A37501D" w14:textId="77777777" w:rsidR="00234A9F" w:rsidRDefault="00234A9F"/>
    <w:p w14:paraId="5DAB6C7B" w14:textId="77777777" w:rsidR="00234A9F" w:rsidRDefault="00234A9F"/>
    <w:p w14:paraId="02EB378F" w14:textId="77777777" w:rsidR="00234A9F" w:rsidRDefault="00234A9F"/>
    <w:p w14:paraId="6A05A809" w14:textId="77777777" w:rsidR="00234A9F" w:rsidRDefault="00234A9F"/>
    <w:p w14:paraId="5A39BBE3" w14:textId="77777777" w:rsidR="00234A9F" w:rsidRDefault="00234A9F"/>
    <w:p w14:paraId="41C8F396" w14:textId="77777777" w:rsidR="00234A9F" w:rsidRDefault="00234A9F"/>
    <w:p w14:paraId="72A3D3EC" w14:textId="77777777" w:rsidR="00234A9F" w:rsidRDefault="00234A9F"/>
    <w:p w14:paraId="0D0B940D" w14:textId="77777777" w:rsidR="00234A9F" w:rsidRDefault="00234A9F"/>
    <w:p w14:paraId="0E27B00A" w14:textId="77777777" w:rsidR="00234A9F" w:rsidRDefault="00234A9F"/>
    <w:p w14:paraId="60061E4C" w14:textId="77777777" w:rsidR="00234A9F" w:rsidRDefault="00234A9F"/>
    <w:p w14:paraId="44EAFD9C" w14:textId="77777777" w:rsidR="00234A9F" w:rsidRDefault="00234A9F"/>
    <w:p w14:paraId="4B94D5A5" w14:textId="77777777" w:rsidR="00F1482C" w:rsidRDefault="00F1482C"/>
    <w:p w14:paraId="3DEEC669" w14:textId="77777777" w:rsidR="00F1482C" w:rsidRDefault="00F1482C"/>
    <w:p w14:paraId="3656B9AB" w14:textId="77777777" w:rsidR="00234A9F" w:rsidRDefault="00234A9F"/>
    <w:p w14:paraId="45FB0818" w14:textId="77777777" w:rsidR="00234A9F" w:rsidRDefault="00234A9F"/>
    <w:p w14:paraId="049F31CB" w14:textId="77777777" w:rsidR="00234A9F" w:rsidRDefault="00234A9F"/>
    <w:p w14:paraId="53128261" w14:textId="77777777" w:rsidR="00234A9F" w:rsidRDefault="00234A9F"/>
    <w:p w14:paraId="622B979E" w14:textId="77777777" w:rsidR="00234A9F" w:rsidRPr="00234A9F" w:rsidRDefault="00100159" w:rsidP="00234A9F">
      <w:pPr>
        <w:jc w:val="center"/>
        <w:rPr>
          <w:sz w:val="48"/>
          <w:szCs w:val="48"/>
        </w:rPr>
      </w:pPr>
      <w:r>
        <w:rPr>
          <w:sz w:val="48"/>
          <w:szCs w:val="48"/>
        </w:rPr>
        <w:t>TRUSTEE GOVERNANCE</w:t>
      </w:r>
      <w:r w:rsidR="00234A9F" w:rsidRPr="00234A9F">
        <w:rPr>
          <w:sz w:val="48"/>
          <w:szCs w:val="48"/>
        </w:rPr>
        <w:t xml:space="preserve"> POLICY</w:t>
      </w:r>
    </w:p>
    <w:p w14:paraId="62486C05" w14:textId="77777777" w:rsidR="00234A9F" w:rsidRDefault="00234A9F"/>
    <w:p w14:paraId="4101652C" w14:textId="77777777" w:rsidR="00234A9F" w:rsidRDefault="00234A9F"/>
    <w:p w14:paraId="4B99056E" w14:textId="77777777" w:rsidR="00234A9F" w:rsidRDefault="00234A9F"/>
    <w:p w14:paraId="1299C43A" w14:textId="77777777" w:rsidR="00234A9F" w:rsidRDefault="00234A9F"/>
    <w:p w14:paraId="4DDBEF00" w14:textId="77777777" w:rsidR="00234A9F" w:rsidRDefault="00234A9F"/>
    <w:p w14:paraId="3461D779" w14:textId="77777777" w:rsidR="00234A9F" w:rsidRDefault="00234A9F"/>
    <w:p w14:paraId="3CF2D8B6" w14:textId="77777777" w:rsidR="00234A9F" w:rsidRDefault="00234A9F"/>
    <w:p w14:paraId="0FB78278" w14:textId="77777777" w:rsidR="00234A9F" w:rsidRDefault="00234A9F"/>
    <w:p w14:paraId="1FC39945" w14:textId="77777777" w:rsidR="00234A9F" w:rsidRDefault="00234A9F"/>
    <w:p w14:paraId="0562CB0E" w14:textId="77777777" w:rsidR="00F1482C" w:rsidRDefault="00F1482C"/>
    <w:p w14:paraId="34CE0A41" w14:textId="77777777" w:rsidR="00F1482C" w:rsidRDefault="00F1482C"/>
    <w:tbl>
      <w:tblPr>
        <w:tblW w:w="991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38"/>
        <w:gridCol w:w="7796"/>
        <w:gridCol w:w="284"/>
      </w:tblGrid>
      <w:tr w:rsidR="00FF1E33" w14:paraId="47C2FEDE" w14:textId="77777777" w:rsidTr="6BEA11AD">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4BDC9D42" w14:textId="77777777" w:rsidR="00FF1E33" w:rsidRDefault="00FF1E33" w:rsidP="001F0B15">
            <w:pPr>
              <w:pStyle w:val="Heading1"/>
              <w:rPr>
                <w:b w:val="0"/>
                <w:bCs/>
              </w:rPr>
            </w:pPr>
            <w:r>
              <w:rPr>
                <w:b w:val="0"/>
                <w:bCs/>
              </w:rPr>
              <w:t>Issue Date:</w:t>
            </w:r>
          </w:p>
        </w:tc>
        <w:tc>
          <w:tcPr>
            <w:tcW w:w="7796" w:type="dxa"/>
            <w:tcBorders>
              <w:top w:val="single" w:sz="4" w:space="0" w:color="auto"/>
              <w:left w:val="single" w:sz="4" w:space="0" w:color="auto"/>
              <w:bottom w:val="single" w:sz="4" w:space="0" w:color="auto"/>
              <w:right w:val="nil"/>
            </w:tcBorders>
            <w:vAlign w:val="center"/>
          </w:tcPr>
          <w:p w14:paraId="62EBF3C5" w14:textId="0E93A888" w:rsidR="00FF1E33" w:rsidRDefault="00DA1781" w:rsidP="6BEA11AD">
            <w:pPr>
              <w:pStyle w:val="Heading1"/>
              <w:rPr>
                <w:b w:val="0"/>
              </w:rPr>
            </w:pPr>
            <w:r>
              <w:rPr>
                <w:b w:val="0"/>
              </w:rPr>
              <w:t>29/08/2025</w:t>
            </w:r>
          </w:p>
        </w:tc>
        <w:tc>
          <w:tcPr>
            <w:tcW w:w="284" w:type="dxa"/>
            <w:tcBorders>
              <w:top w:val="single" w:sz="4" w:space="0" w:color="auto"/>
              <w:left w:val="nil"/>
              <w:bottom w:val="single" w:sz="4" w:space="0" w:color="auto"/>
              <w:right w:val="single" w:sz="4" w:space="0" w:color="auto"/>
            </w:tcBorders>
            <w:vAlign w:val="center"/>
          </w:tcPr>
          <w:p w14:paraId="6D98A12B" w14:textId="77777777" w:rsidR="00FF1E33" w:rsidRPr="00F1482C" w:rsidRDefault="00FF1E33" w:rsidP="001F0B15">
            <w:pPr>
              <w:rPr>
                <w:sz w:val="28"/>
                <w:szCs w:val="28"/>
                <w:lang w:eastAsia="en-GB"/>
              </w:rPr>
            </w:pPr>
          </w:p>
        </w:tc>
      </w:tr>
      <w:tr w:rsidR="00FF1E33" w14:paraId="16808EAA" w14:textId="77777777" w:rsidTr="6BEA11AD">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4ACE83" w14:textId="77777777" w:rsidR="00FF1E33" w:rsidRDefault="00FF1E33" w:rsidP="001F0B15">
            <w:pPr>
              <w:pStyle w:val="Heading1"/>
              <w:rPr>
                <w:b w:val="0"/>
                <w:bCs/>
              </w:rPr>
            </w:pPr>
            <w:r>
              <w:rPr>
                <w:b w:val="0"/>
                <w:bCs/>
              </w:rPr>
              <w:t>Version:</w:t>
            </w:r>
          </w:p>
        </w:tc>
        <w:tc>
          <w:tcPr>
            <w:tcW w:w="7796" w:type="dxa"/>
            <w:tcBorders>
              <w:top w:val="single" w:sz="4" w:space="0" w:color="auto"/>
              <w:left w:val="single" w:sz="4" w:space="0" w:color="auto"/>
              <w:bottom w:val="single" w:sz="4" w:space="0" w:color="auto"/>
              <w:right w:val="nil"/>
            </w:tcBorders>
            <w:vAlign w:val="center"/>
          </w:tcPr>
          <w:p w14:paraId="2946DB82" w14:textId="4E49105C" w:rsidR="00FF1E33" w:rsidRDefault="00DA1781" w:rsidP="6BEA11AD">
            <w:pPr>
              <w:pStyle w:val="Heading1"/>
              <w:rPr>
                <w:b w:val="0"/>
              </w:rPr>
            </w:pPr>
            <w:r>
              <w:rPr>
                <w:b w:val="0"/>
              </w:rPr>
              <w:t>3</w:t>
            </w:r>
          </w:p>
        </w:tc>
        <w:tc>
          <w:tcPr>
            <w:tcW w:w="284" w:type="dxa"/>
            <w:tcBorders>
              <w:top w:val="single" w:sz="4" w:space="0" w:color="auto"/>
              <w:left w:val="nil"/>
              <w:bottom w:val="single" w:sz="4" w:space="0" w:color="auto"/>
              <w:right w:val="single" w:sz="4" w:space="0" w:color="auto"/>
            </w:tcBorders>
          </w:tcPr>
          <w:p w14:paraId="5997CC1D" w14:textId="77777777" w:rsidR="00FF1E33" w:rsidRPr="00F1482C" w:rsidRDefault="00FF1E33" w:rsidP="001F0B15">
            <w:pPr>
              <w:rPr>
                <w:sz w:val="28"/>
                <w:szCs w:val="28"/>
                <w:lang w:eastAsia="en-GB"/>
              </w:rPr>
            </w:pPr>
          </w:p>
        </w:tc>
      </w:tr>
      <w:tr w:rsidR="00FF1E33" w14:paraId="393B487E" w14:textId="77777777" w:rsidTr="6BEA11AD">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5F211E83" w14:textId="77777777" w:rsidR="00FF1E33" w:rsidRDefault="00FF1E33" w:rsidP="001F0B15">
            <w:pPr>
              <w:pStyle w:val="Heading1"/>
              <w:rPr>
                <w:b w:val="0"/>
                <w:bCs/>
              </w:rPr>
            </w:pPr>
            <w:r>
              <w:rPr>
                <w:b w:val="0"/>
                <w:bCs/>
              </w:rPr>
              <w:t>Status:</w:t>
            </w:r>
          </w:p>
        </w:tc>
        <w:tc>
          <w:tcPr>
            <w:tcW w:w="7796" w:type="dxa"/>
            <w:tcBorders>
              <w:top w:val="single" w:sz="4" w:space="0" w:color="auto"/>
              <w:left w:val="single" w:sz="4" w:space="0" w:color="auto"/>
              <w:bottom w:val="single" w:sz="4" w:space="0" w:color="auto"/>
              <w:right w:val="nil"/>
            </w:tcBorders>
            <w:vAlign w:val="center"/>
          </w:tcPr>
          <w:p w14:paraId="2E10FD33" w14:textId="3AF6A5C6" w:rsidR="00FF1E33" w:rsidRDefault="00FF1E33" w:rsidP="6BEA11AD">
            <w:pPr>
              <w:pStyle w:val="Heading1"/>
              <w:ind w:left="0" w:firstLine="0"/>
              <w:rPr>
                <w:b w:val="0"/>
              </w:rPr>
            </w:pPr>
            <w:r>
              <w:rPr>
                <w:b w:val="0"/>
              </w:rPr>
              <w:t>Approved</w:t>
            </w:r>
          </w:p>
        </w:tc>
        <w:tc>
          <w:tcPr>
            <w:tcW w:w="284" w:type="dxa"/>
            <w:tcBorders>
              <w:top w:val="single" w:sz="4" w:space="0" w:color="auto"/>
              <w:left w:val="nil"/>
              <w:bottom w:val="single" w:sz="4" w:space="0" w:color="auto"/>
              <w:right w:val="single" w:sz="4" w:space="0" w:color="auto"/>
            </w:tcBorders>
          </w:tcPr>
          <w:p w14:paraId="110FFD37" w14:textId="77777777" w:rsidR="00FF1E33" w:rsidRPr="00F1482C" w:rsidRDefault="00FF1E33" w:rsidP="001F0B15">
            <w:pPr>
              <w:rPr>
                <w:sz w:val="28"/>
                <w:szCs w:val="28"/>
                <w:lang w:eastAsia="en-GB"/>
              </w:rPr>
            </w:pPr>
          </w:p>
        </w:tc>
      </w:tr>
      <w:tr w:rsidR="00FF1E33" w14:paraId="3A474799" w14:textId="77777777" w:rsidTr="6BEA11AD">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66651FF0" w14:textId="77777777" w:rsidR="00FF1E33" w:rsidRDefault="00FF1E33" w:rsidP="001F0B15">
            <w:pPr>
              <w:pStyle w:val="Heading1"/>
              <w:rPr>
                <w:b w:val="0"/>
                <w:bCs/>
              </w:rPr>
            </w:pPr>
            <w:r>
              <w:rPr>
                <w:b w:val="0"/>
                <w:bCs/>
              </w:rPr>
              <w:t>Review Period</w:t>
            </w:r>
          </w:p>
        </w:tc>
        <w:tc>
          <w:tcPr>
            <w:tcW w:w="7796" w:type="dxa"/>
            <w:tcBorders>
              <w:top w:val="single" w:sz="4" w:space="0" w:color="auto"/>
              <w:left w:val="single" w:sz="4" w:space="0" w:color="auto"/>
              <w:bottom w:val="single" w:sz="4" w:space="0" w:color="auto"/>
              <w:right w:val="nil"/>
            </w:tcBorders>
            <w:vAlign w:val="center"/>
          </w:tcPr>
          <w:p w14:paraId="1718B1CF" w14:textId="45B6336D" w:rsidR="00FF1E33" w:rsidRDefault="00FF1E33" w:rsidP="6BEA11AD">
            <w:pPr>
              <w:pStyle w:val="Heading1"/>
              <w:rPr>
                <w:b w:val="0"/>
              </w:rPr>
            </w:pPr>
            <w:r>
              <w:rPr>
                <w:b w:val="0"/>
              </w:rPr>
              <w:t>5 Years</w:t>
            </w:r>
          </w:p>
        </w:tc>
        <w:tc>
          <w:tcPr>
            <w:tcW w:w="284" w:type="dxa"/>
            <w:tcBorders>
              <w:top w:val="single" w:sz="4" w:space="0" w:color="auto"/>
              <w:left w:val="nil"/>
              <w:bottom w:val="single" w:sz="4" w:space="0" w:color="auto"/>
              <w:right w:val="single" w:sz="4" w:space="0" w:color="auto"/>
            </w:tcBorders>
          </w:tcPr>
          <w:p w14:paraId="6B699379" w14:textId="77777777" w:rsidR="00FF1E33" w:rsidRPr="00F1482C" w:rsidRDefault="00FF1E33" w:rsidP="001F0B15">
            <w:pPr>
              <w:rPr>
                <w:sz w:val="28"/>
                <w:szCs w:val="28"/>
                <w:lang w:eastAsia="en-GB"/>
              </w:rPr>
            </w:pPr>
          </w:p>
        </w:tc>
      </w:tr>
      <w:tr w:rsidR="00FF1E33" w14:paraId="03676DF2" w14:textId="77777777" w:rsidTr="6BEA11AD">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139BBA3F" w14:textId="77777777" w:rsidR="00FF1E33" w:rsidRDefault="00FF1E33" w:rsidP="001F0B15">
            <w:pPr>
              <w:pStyle w:val="Heading1"/>
              <w:rPr>
                <w:b w:val="0"/>
                <w:bCs/>
              </w:rPr>
            </w:pPr>
            <w:r>
              <w:rPr>
                <w:b w:val="0"/>
                <w:bCs/>
              </w:rPr>
              <w:t>Author:</w:t>
            </w:r>
          </w:p>
        </w:tc>
        <w:tc>
          <w:tcPr>
            <w:tcW w:w="7796" w:type="dxa"/>
            <w:tcBorders>
              <w:top w:val="single" w:sz="4" w:space="0" w:color="auto"/>
              <w:left w:val="single" w:sz="4" w:space="0" w:color="auto"/>
              <w:bottom w:val="single" w:sz="4" w:space="0" w:color="auto"/>
              <w:right w:val="nil"/>
            </w:tcBorders>
            <w:vAlign w:val="center"/>
          </w:tcPr>
          <w:p w14:paraId="3FE9F23F" w14:textId="6862A68B" w:rsidR="00FF1E33" w:rsidRDefault="134C0FE1" w:rsidP="6BEA11AD">
            <w:pPr>
              <w:pStyle w:val="Heading1"/>
              <w:rPr>
                <w:b w:val="0"/>
              </w:rPr>
            </w:pPr>
            <w:r>
              <w:rPr>
                <w:b w:val="0"/>
              </w:rPr>
              <w:t>Human Resources</w:t>
            </w:r>
          </w:p>
        </w:tc>
        <w:tc>
          <w:tcPr>
            <w:tcW w:w="284" w:type="dxa"/>
            <w:tcBorders>
              <w:top w:val="single" w:sz="4" w:space="0" w:color="auto"/>
              <w:left w:val="nil"/>
              <w:bottom w:val="single" w:sz="4" w:space="0" w:color="auto"/>
              <w:right w:val="single" w:sz="4" w:space="0" w:color="auto"/>
            </w:tcBorders>
          </w:tcPr>
          <w:p w14:paraId="1F72F646" w14:textId="77777777" w:rsidR="00FF1E33" w:rsidRPr="00F1482C" w:rsidRDefault="00FF1E33" w:rsidP="001F0B15">
            <w:pPr>
              <w:rPr>
                <w:sz w:val="28"/>
                <w:szCs w:val="28"/>
                <w:lang w:eastAsia="en-GB"/>
              </w:rPr>
            </w:pPr>
          </w:p>
        </w:tc>
      </w:tr>
      <w:tr w:rsidR="00FF1E33" w14:paraId="4A4EA524" w14:textId="77777777" w:rsidTr="6BEA11AD">
        <w:trPr>
          <w:cantSplit/>
          <w:trHeight w:val="70"/>
          <w:jc w:val="center"/>
        </w:trPr>
        <w:tc>
          <w:tcPr>
            <w:tcW w:w="1838" w:type="dxa"/>
            <w:tcBorders>
              <w:top w:val="single" w:sz="4" w:space="0" w:color="auto"/>
              <w:left w:val="single" w:sz="4" w:space="0" w:color="auto"/>
              <w:bottom w:val="single" w:sz="4" w:space="0" w:color="auto"/>
              <w:right w:val="single" w:sz="4" w:space="0" w:color="auto"/>
            </w:tcBorders>
            <w:vAlign w:val="center"/>
          </w:tcPr>
          <w:p w14:paraId="51272114" w14:textId="77777777" w:rsidR="00FF1E33" w:rsidRDefault="00FF1E33" w:rsidP="001F0B15">
            <w:pPr>
              <w:pStyle w:val="Heading1"/>
              <w:rPr>
                <w:b w:val="0"/>
                <w:bCs/>
              </w:rPr>
            </w:pPr>
            <w:r>
              <w:rPr>
                <w:b w:val="0"/>
                <w:bCs/>
              </w:rPr>
              <w:t>Applies to:</w:t>
            </w:r>
          </w:p>
        </w:tc>
        <w:tc>
          <w:tcPr>
            <w:tcW w:w="7796" w:type="dxa"/>
            <w:tcBorders>
              <w:top w:val="single" w:sz="4" w:space="0" w:color="auto"/>
              <w:left w:val="single" w:sz="4" w:space="0" w:color="auto"/>
              <w:bottom w:val="single" w:sz="4" w:space="0" w:color="auto"/>
              <w:right w:val="nil"/>
            </w:tcBorders>
            <w:vAlign w:val="center"/>
          </w:tcPr>
          <w:p w14:paraId="4CA07D1E" w14:textId="77777777" w:rsidR="00FF1E33" w:rsidRDefault="00FF1E33" w:rsidP="001F0B15">
            <w:pPr>
              <w:pStyle w:val="Heading1"/>
              <w:rPr>
                <w:b w:val="0"/>
                <w:bCs/>
              </w:rPr>
            </w:pPr>
            <w:r>
              <w:rPr>
                <w:b w:val="0"/>
                <w:bCs/>
              </w:rPr>
              <w:t>Staff / Volunteers / Contractors / Visitors</w:t>
            </w:r>
          </w:p>
        </w:tc>
        <w:tc>
          <w:tcPr>
            <w:tcW w:w="284" w:type="dxa"/>
            <w:tcBorders>
              <w:top w:val="single" w:sz="4" w:space="0" w:color="auto"/>
              <w:left w:val="nil"/>
              <w:bottom w:val="single" w:sz="4" w:space="0" w:color="auto"/>
              <w:right w:val="single" w:sz="4" w:space="0" w:color="auto"/>
            </w:tcBorders>
          </w:tcPr>
          <w:p w14:paraId="08CE6F91" w14:textId="77777777" w:rsidR="00FF1E33" w:rsidRPr="00F1482C" w:rsidRDefault="00FF1E33" w:rsidP="001F0B15">
            <w:pPr>
              <w:rPr>
                <w:sz w:val="28"/>
                <w:szCs w:val="28"/>
                <w:lang w:eastAsia="en-GB"/>
              </w:rPr>
            </w:pPr>
          </w:p>
        </w:tc>
      </w:tr>
    </w:tbl>
    <w:p w14:paraId="61CDCEAD" w14:textId="77777777" w:rsidR="00F1482C" w:rsidRDefault="00F1482C"/>
    <w:p w14:paraId="6BB9E253" w14:textId="77777777" w:rsidR="00F1482C" w:rsidRDefault="00F1482C"/>
    <w:p w14:paraId="23DE523C" w14:textId="77777777" w:rsidR="00F1482C" w:rsidRDefault="00F1482C"/>
    <w:p w14:paraId="52E56223" w14:textId="77777777" w:rsidR="00F1482C" w:rsidRDefault="00F1482C"/>
    <w:p w14:paraId="07547A01" w14:textId="77777777" w:rsidR="00F1482C" w:rsidRDefault="00F1482C"/>
    <w:p w14:paraId="5043CB0F" w14:textId="77777777" w:rsidR="00F1482C" w:rsidRDefault="00F1482C"/>
    <w:p w14:paraId="07459315" w14:textId="77777777" w:rsidR="00F1482C" w:rsidRDefault="00F1482C"/>
    <w:p w14:paraId="6537F28F" w14:textId="77777777" w:rsidR="00F1482C" w:rsidRDefault="00F1482C"/>
    <w:p w14:paraId="6DFB9E20" w14:textId="77777777" w:rsidR="00F1482C" w:rsidRDefault="00F1482C"/>
    <w:p w14:paraId="70DF9E56" w14:textId="77777777" w:rsidR="00234A9F" w:rsidRDefault="00234A9F"/>
    <w:p w14:paraId="44E871BC" w14:textId="77777777" w:rsidR="00234A9F" w:rsidRDefault="00234A9F"/>
    <w:p w14:paraId="144A5D23" w14:textId="77777777" w:rsidR="00234A9F" w:rsidRDefault="00234A9F"/>
    <w:p w14:paraId="783AB0E5" w14:textId="77777777" w:rsidR="00234A9F" w:rsidRPr="00221F2F" w:rsidRDefault="00234A9F" w:rsidP="00234A9F">
      <w:pPr>
        <w:spacing w:line="259" w:lineRule="auto"/>
        <w:jc w:val="center"/>
      </w:pPr>
      <w:r w:rsidRPr="00221F2F">
        <w:t>Pentreath Ltd is committed to achieving a working environment which provides equality of opportunity and freedom from unlawful discrimination on the grounds of race, sex, pregnancy and maternity, marital or civil partnership status, gender reassignment, disability, religion or beliefs, age or sexual orientation.</w:t>
      </w:r>
    </w:p>
    <w:p w14:paraId="738610EB" w14:textId="77777777" w:rsidR="00234A9F" w:rsidRDefault="00234A9F" w:rsidP="00234A9F">
      <w:pPr>
        <w:jc w:val="center"/>
      </w:pPr>
    </w:p>
    <w:p w14:paraId="2F46AB71" w14:textId="77777777" w:rsidR="00234A9F" w:rsidRDefault="00234A9F" w:rsidP="00234A9F">
      <w:pPr>
        <w:jc w:val="center"/>
      </w:pPr>
      <w:r>
        <w:t xml:space="preserve">If you require this document in other formats or </w:t>
      </w:r>
      <w:proofErr w:type="gramStart"/>
      <w:r>
        <w:t>languages</w:t>
      </w:r>
      <w:proofErr w:type="gramEnd"/>
      <w:r>
        <w:t xml:space="preserve"> please contact the author.</w:t>
      </w:r>
    </w:p>
    <w:p w14:paraId="637805D2" w14:textId="77777777" w:rsidR="003752AD" w:rsidRDefault="003752AD">
      <w:pPr>
        <w:spacing w:after="160" w:line="259" w:lineRule="auto"/>
      </w:pPr>
      <w:r>
        <w:br w:type="page"/>
      </w:r>
    </w:p>
    <w:p w14:paraId="463F29E8" w14:textId="77777777" w:rsidR="00325F80" w:rsidRDefault="00325F80"/>
    <w:tbl>
      <w:tblPr>
        <w:tblStyle w:val="TableGrid"/>
        <w:tblW w:w="0" w:type="auto"/>
        <w:tblLook w:val="04A0" w:firstRow="1" w:lastRow="0" w:firstColumn="1" w:lastColumn="0" w:noHBand="0" w:noVBand="1"/>
      </w:tblPr>
      <w:tblGrid>
        <w:gridCol w:w="3485"/>
        <w:gridCol w:w="4732"/>
        <w:gridCol w:w="1134"/>
        <w:gridCol w:w="850"/>
        <w:gridCol w:w="255"/>
      </w:tblGrid>
      <w:tr w:rsidR="00325F80" w14:paraId="72F00401" w14:textId="77777777" w:rsidTr="00325F80">
        <w:tc>
          <w:tcPr>
            <w:tcW w:w="10201" w:type="dxa"/>
            <w:gridSpan w:val="4"/>
            <w:tcBorders>
              <w:right w:val="nil"/>
            </w:tcBorders>
            <w:vAlign w:val="center"/>
          </w:tcPr>
          <w:p w14:paraId="2BDE37E4" w14:textId="77777777" w:rsidR="00325F80" w:rsidRPr="00325F80" w:rsidRDefault="00325F80" w:rsidP="00325F80">
            <w:pPr>
              <w:jc w:val="center"/>
              <w:rPr>
                <w:b/>
              </w:rPr>
            </w:pPr>
            <w:r w:rsidRPr="005C08E7">
              <w:rPr>
                <w:b/>
              </w:rPr>
              <w:t>EQUALITY IMPACT ASSESSMENT</w:t>
            </w:r>
          </w:p>
        </w:tc>
        <w:tc>
          <w:tcPr>
            <w:tcW w:w="255" w:type="dxa"/>
            <w:tcBorders>
              <w:left w:val="nil"/>
            </w:tcBorders>
          </w:tcPr>
          <w:p w14:paraId="3B7B4B86" w14:textId="77777777" w:rsidR="00325F80" w:rsidRDefault="00325F80">
            <w:pPr>
              <w:rPr>
                <w:sz w:val="28"/>
                <w:szCs w:val="28"/>
              </w:rPr>
            </w:pPr>
          </w:p>
          <w:p w14:paraId="3A0FF5F2" w14:textId="77777777" w:rsidR="00325F80" w:rsidRPr="00325F80" w:rsidRDefault="00325F80">
            <w:pPr>
              <w:rPr>
                <w:sz w:val="28"/>
                <w:szCs w:val="28"/>
              </w:rPr>
            </w:pPr>
          </w:p>
        </w:tc>
      </w:tr>
      <w:tr w:rsidR="00325F80" w14:paraId="7B3783CD" w14:textId="77777777" w:rsidTr="00325F80">
        <w:tc>
          <w:tcPr>
            <w:tcW w:w="3485" w:type="dxa"/>
            <w:vAlign w:val="center"/>
          </w:tcPr>
          <w:p w14:paraId="64CCB486" w14:textId="77777777" w:rsidR="00325F80" w:rsidRDefault="00325F80" w:rsidP="00325F80">
            <w:r>
              <w:t>Who does the policy affect?</w:t>
            </w:r>
          </w:p>
        </w:tc>
        <w:tc>
          <w:tcPr>
            <w:tcW w:w="6716" w:type="dxa"/>
            <w:gridSpan w:val="3"/>
            <w:tcBorders>
              <w:right w:val="nil"/>
            </w:tcBorders>
            <w:vAlign w:val="center"/>
          </w:tcPr>
          <w:p w14:paraId="1270B31B" w14:textId="77777777" w:rsidR="00325F80" w:rsidRDefault="00325F80" w:rsidP="00325F80">
            <w:proofErr w:type="gramStart"/>
            <w:r>
              <w:t>Staff  /</w:t>
            </w:r>
            <w:proofErr w:type="gramEnd"/>
            <w:r>
              <w:t xml:space="preserve">  </w:t>
            </w:r>
            <w:proofErr w:type="gramStart"/>
            <w:r>
              <w:t>Clients  /</w:t>
            </w:r>
            <w:proofErr w:type="gramEnd"/>
            <w:r>
              <w:t xml:space="preserve">  </w:t>
            </w:r>
            <w:proofErr w:type="gramStart"/>
            <w:r>
              <w:t>Referrers  /</w:t>
            </w:r>
            <w:proofErr w:type="gramEnd"/>
            <w:r>
              <w:t xml:space="preserve">  Public</w:t>
            </w:r>
          </w:p>
        </w:tc>
        <w:tc>
          <w:tcPr>
            <w:tcW w:w="255" w:type="dxa"/>
            <w:tcBorders>
              <w:left w:val="nil"/>
            </w:tcBorders>
          </w:tcPr>
          <w:p w14:paraId="5630AD66" w14:textId="77777777" w:rsidR="00325F80" w:rsidRPr="00325F80" w:rsidRDefault="00325F80">
            <w:pPr>
              <w:rPr>
                <w:sz w:val="28"/>
                <w:szCs w:val="28"/>
              </w:rPr>
            </w:pPr>
          </w:p>
          <w:p w14:paraId="61829076" w14:textId="77777777" w:rsidR="00325F80" w:rsidRDefault="00325F80"/>
        </w:tc>
      </w:tr>
      <w:tr w:rsidR="007C246C" w14:paraId="7C126D34" w14:textId="77777777" w:rsidTr="00460D2E">
        <w:tc>
          <w:tcPr>
            <w:tcW w:w="8217" w:type="dxa"/>
            <w:gridSpan w:val="2"/>
          </w:tcPr>
          <w:p w14:paraId="2BA226A1" w14:textId="77777777" w:rsidR="007C246C" w:rsidRDefault="007C246C"/>
        </w:tc>
        <w:tc>
          <w:tcPr>
            <w:tcW w:w="1134" w:type="dxa"/>
            <w:vAlign w:val="center"/>
          </w:tcPr>
          <w:p w14:paraId="5B7FDD25" w14:textId="77777777" w:rsidR="007C246C" w:rsidRDefault="007C246C" w:rsidP="008A1BD8">
            <w:pPr>
              <w:jc w:val="center"/>
            </w:pPr>
            <w:r>
              <w:t>Yes</w:t>
            </w:r>
          </w:p>
        </w:tc>
        <w:tc>
          <w:tcPr>
            <w:tcW w:w="850" w:type="dxa"/>
            <w:tcBorders>
              <w:right w:val="nil"/>
            </w:tcBorders>
            <w:vAlign w:val="center"/>
          </w:tcPr>
          <w:p w14:paraId="65804BD3" w14:textId="77777777" w:rsidR="007C246C" w:rsidRDefault="007C246C" w:rsidP="00460D2E">
            <w:pPr>
              <w:jc w:val="right"/>
            </w:pPr>
            <w:r>
              <w:t>No</w:t>
            </w:r>
          </w:p>
        </w:tc>
        <w:tc>
          <w:tcPr>
            <w:tcW w:w="255" w:type="dxa"/>
            <w:tcBorders>
              <w:left w:val="nil"/>
            </w:tcBorders>
          </w:tcPr>
          <w:p w14:paraId="17AD93B2" w14:textId="77777777" w:rsidR="007C246C" w:rsidRPr="00325F80" w:rsidRDefault="007C246C">
            <w:pPr>
              <w:rPr>
                <w:sz w:val="28"/>
                <w:szCs w:val="28"/>
              </w:rPr>
            </w:pPr>
          </w:p>
          <w:p w14:paraId="0DE4B5B7" w14:textId="77777777" w:rsidR="008A1BD8" w:rsidRPr="00325F80" w:rsidRDefault="008A1BD8">
            <w:pPr>
              <w:rPr>
                <w:sz w:val="28"/>
                <w:szCs w:val="28"/>
              </w:rPr>
            </w:pPr>
          </w:p>
        </w:tc>
      </w:tr>
      <w:tr w:rsidR="007C246C" w14:paraId="332ACFFD" w14:textId="77777777" w:rsidTr="00325F80">
        <w:tc>
          <w:tcPr>
            <w:tcW w:w="8217" w:type="dxa"/>
            <w:gridSpan w:val="2"/>
            <w:vAlign w:val="center"/>
          </w:tcPr>
          <w:p w14:paraId="1ECF1623" w14:textId="77777777" w:rsidR="007C246C" w:rsidRDefault="007C246C" w:rsidP="00325F80">
            <w:pPr>
              <w:pStyle w:val="Default"/>
              <w:rPr>
                <w:sz w:val="23"/>
                <w:szCs w:val="23"/>
              </w:rPr>
            </w:pPr>
            <w:r>
              <w:rPr>
                <w:sz w:val="23"/>
                <w:szCs w:val="23"/>
              </w:rPr>
              <w:t xml:space="preserve">1. Will the proposal have any impact on discrimination, equality of opportunity or relations between groups? </w:t>
            </w:r>
          </w:p>
        </w:tc>
        <w:tc>
          <w:tcPr>
            <w:tcW w:w="1134" w:type="dxa"/>
          </w:tcPr>
          <w:p w14:paraId="66204FF1" w14:textId="77777777" w:rsidR="007C246C" w:rsidRDefault="007C246C" w:rsidP="007C246C"/>
        </w:tc>
        <w:tc>
          <w:tcPr>
            <w:tcW w:w="850" w:type="dxa"/>
            <w:tcBorders>
              <w:right w:val="nil"/>
            </w:tcBorders>
          </w:tcPr>
          <w:p w14:paraId="2DBF0D7D" w14:textId="2B046FB1" w:rsidR="007C246C" w:rsidRDefault="00DA1781" w:rsidP="007C246C">
            <w:r>
              <w:t>x</w:t>
            </w:r>
          </w:p>
        </w:tc>
        <w:tc>
          <w:tcPr>
            <w:tcW w:w="255" w:type="dxa"/>
            <w:tcBorders>
              <w:left w:val="nil"/>
            </w:tcBorders>
          </w:tcPr>
          <w:p w14:paraId="6B62F1B3" w14:textId="77777777" w:rsidR="007C246C" w:rsidRPr="00325F80" w:rsidRDefault="007C246C" w:rsidP="007C246C">
            <w:pPr>
              <w:rPr>
                <w:sz w:val="28"/>
                <w:szCs w:val="28"/>
              </w:rPr>
            </w:pPr>
          </w:p>
          <w:p w14:paraId="02F2C34E" w14:textId="77777777" w:rsidR="00325F80" w:rsidRPr="00325F80" w:rsidRDefault="00325F80" w:rsidP="007C246C">
            <w:pPr>
              <w:rPr>
                <w:sz w:val="28"/>
                <w:szCs w:val="28"/>
              </w:rPr>
            </w:pPr>
          </w:p>
        </w:tc>
      </w:tr>
      <w:tr w:rsidR="007C246C" w14:paraId="0F272849" w14:textId="77777777" w:rsidTr="00325F80">
        <w:tc>
          <w:tcPr>
            <w:tcW w:w="8217" w:type="dxa"/>
            <w:gridSpan w:val="2"/>
            <w:vAlign w:val="center"/>
          </w:tcPr>
          <w:p w14:paraId="5408972F" w14:textId="77777777" w:rsidR="007C246C" w:rsidRDefault="007C246C" w:rsidP="00325F80">
            <w:pPr>
              <w:pStyle w:val="Default"/>
              <w:rPr>
                <w:sz w:val="23"/>
                <w:szCs w:val="23"/>
              </w:rPr>
            </w:pPr>
            <w:r>
              <w:rPr>
                <w:sz w:val="23"/>
                <w:szCs w:val="23"/>
              </w:rPr>
              <w:t xml:space="preserve">2. Is the proposal controversial in any way (including media, academic, voluntary or sector specific interest) about the proposed work? </w:t>
            </w:r>
          </w:p>
        </w:tc>
        <w:tc>
          <w:tcPr>
            <w:tcW w:w="1134" w:type="dxa"/>
          </w:tcPr>
          <w:p w14:paraId="680A4E5D" w14:textId="77777777" w:rsidR="007C246C" w:rsidRDefault="007C246C" w:rsidP="007C246C"/>
        </w:tc>
        <w:tc>
          <w:tcPr>
            <w:tcW w:w="850" w:type="dxa"/>
            <w:tcBorders>
              <w:right w:val="nil"/>
            </w:tcBorders>
          </w:tcPr>
          <w:p w14:paraId="19219836" w14:textId="643DB250" w:rsidR="007C246C" w:rsidRDefault="00DA1781" w:rsidP="007C246C">
            <w:r>
              <w:t>x</w:t>
            </w:r>
          </w:p>
        </w:tc>
        <w:tc>
          <w:tcPr>
            <w:tcW w:w="255" w:type="dxa"/>
            <w:tcBorders>
              <w:left w:val="nil"/>
            </w:tcBorders>
          </w:tcPr>
          <w:p w14:paraId="296FEF7D" w14:textId="77777777" w:rsidR="007C246C" w:rsidRPr="00325F80" w:rsidRDefault="007C246C" w:rsidP="007C246C">
            <w:pPr>
              <w:rPr>
                <w:sz w:val="28"/>
                <w:szCs w:val="28"/>
              </w:rPr>
            </w:pPr>
          </w:p>
          <w:p w14:paraId="7194DBDC" w14:textId="77777777" w:rsidR="00325F80" w:rsidRPr="00325F80" w:rsidRDefault="00325F80" w:rsidP="007C246C">
            <w:pPr>
              <w:rPr>
                <w:sz w:val="28"/>
                <w:szCs w:val="28"/>
              </w:rPr>
            </w:pPr>
          </w:p>
        </w:tc>
      </w:tr>
      <w:tr w:rsidR="007C246C" w14:paraId="28328050" w14:textId="77777777" w:rsidTr="00325F80">
        <w:tc>
          <w:tcPr>
            <w:tcW w:w="8217" w:type="dxa"/>
            <w:gridSpan w:val="2"/>
            <w:vAlign w:val="center"/>
          </w:tcPr>
          <w:p w14:paraId="73613385" w14:textId="77777777" w:rsidR="007C246C" w:rsidRDefault="007C246C" w:rsidP="00325F80">
            <w:pPr>
              <w:pStyle w:val="Default"/>
              <w:rPr>
                <w:sz w:val="23"/>
                <w:szCs w:val="23"/>
              </w:rPr>
            </w:pPr>
            <w:r>
              <w:rPr>
                <w:sz w:val="23"/>
                <w:szCs w:val="23"/>
              </w:rPr>
              <w:t xml:space="preserve">3. Will there be a positive benefit to the users or workforce </w:t>
            </w:r>
            <w:proofErr w:type="gramStart"/>
            <w:r>
              <w:rPr>
                <w:sz w:val="23"/>
                <w:szCs w:val="23"/>
              </w:rPr>
              <w:t>as a result of</w:t>
            </w:r>
            <w:proofErr w:type="gramEnd"/>
            <w:r>
              <w:rPr>
                <w:sz w:val="23"/>
                <w:szCs w:val="23"/>
              </w:rPr>
              <w:t xml:space="preserve"> the proposed work? </w:t>
            </w:r>
          </w:p>
        </w:tc>
        <w:tc>
          <w:tcPr>
            <w:tcW w:w="1134" w:type="dxa"/>
          </w:tcPr>
          <w:p w14:paraId="769D0D3C" w14:textId="2DEE9F2D" w:rsidR="007C246C" w:rsidRDefault="00DA1781" w:rsidP="007C246C">
            <w:r>
              <w:t>x</w:t>
            </w:r>
          </w:p>
        </w:tc>
        <w:tc>
          <w:tcPr>
            <w:tcW w:w="850" w:type="dxa"/>
            <w:tcBorders>
              <w:right w:val="nil"/>
            </w:tcBorders>
          </w:tcPr>
          <w:p w14:paraId="54CD245A" w14:textId="77777777" w:rsidR="007C246C" w:rsidRDefault="007C246C" w:rsidP="007C246C"/>
        </w:tc>
        <w:tc>
          <w:tcPr>
            <w:tcW w:w="255" w:type="dxa"/>
            <w:tcBorders>
              <w:left w:val="nil"/>
            </w:tcBorders>
          </w:tcPr>
          <w:p w14:paraId="1231BE67" w14:textId="77777777" w:rsidR="007C246C" w:rsidRPr="00325F80" w:rsidRDefault="007C246C" w:rsidP="007C246C">
            <w:pPr>
              <w:rPr>
                <w:sz w:val="28"/>
                <w:szCs w:val="28"/>
              </w:rPr>
            </w:pPr>
          </w:p>
          <w:p w14:paraId="36FEB5B0" w14:textId="77777777" w:rsidR="00325F80" w:rsidRPr="00325F80" w:rsidRDefault="00325F80" w:rsidP="007C246C">
            <w:pPr>
              <w:rPr>
                <w:sz w:val="28"/>
                <w:szCs w:val="28"/>
              </w:rPr>
            </w:pPr>
          </w:p>
        </w:tc>
      </w:tr>
      <w:tr w:rsidR="007C246C" w14:paraId="633548E6" w14:textId="77777777" w:rsidTr="00325F80">
        <w:tc>
          <w:tcPr>
            <w:tcW w:w="8217" w:type="dxa"/>
            <w:gridSpan w:val="2"/>
            <w:vAlign w:val="center"/>
          </w:tcPr>
          <w:p w14:paraId="48F4C5DF" w14:textId="77777777" w:rsidR="007C246C" w:rsidRDefault="007C246C" w:rsidP="00325F80">
            <w:pPr>
              <w:pStyle w:val="Default"/>
              <w:rPr>
                <w:sz w:val="23"/>
                <w:szCs w:val="23"/>
              </w:rPr>
            </w:pPr>
            <w:r>
              <w:rPr>
                <w:sz w:val="23"/>
                <w:szCs w:val="23"/>
              </w:rPr>
              <w:t xml:space="preserve">4. Will the users or workforce be disadvantaged </w:t>
            </w:r>
            <w:proofErr w:type="gramStart"/>
            <w:r>
              <w:rPr>
                <w:sz w:val="23"/>
                <w:szCs w:val="23"/>
              </w:rPr>
              <w:t>as a result of</w:t>
            </w:r>
            <w:proofErr w:type="gramEnd"/>
            <w:r>
              <w:rPr>
                <w:sz w:val="23"/>
                <w:szCs w:val="23"/>
              </w:rPr>
              <w:t xml:space="preserve"> the proposed work? </w:t>
            </w:r>
          </w:p>
        </w:tc>
        <w:tc>
          <w:tcPr>
            <w:tcW w:w="1134" w:type="dxa"/>
          </w:tcPr>
          <w:p w14:paraId="30D7AA69" w14:textId="77777777" w:rsidR="007C246C" w:rsidRDefault="007C246C" w:rsidP="007C246C"/>
        </w:tc>
        <w:tc>
          <w:tcPr>
            <w:tcW w:w="850" w:type="dxa"/>
            <w:tcBorders>
              <w:right w:val="nil"/>
            </w:tcBorders>
          </w:tcPr>
          <w:p w14:paraId="7196D064" w14:textId="365D3B58" w:rsidR="007C246C" w:rsidRDefault="00DA1781" w:rsidP="007C246C">
            <w:r>
              <w:t>x</w:t>
            </w:r>
          </w:p>
        </w:tc>
        <w:tc>
          <w:tcPr>
            <w:tcW w:w="255" w:type="dxa"/>
            <w:tcBorders>
              <w:left w:val="nil"/>
            </w:tcBorders>
          </w:tcPr>
          <w:p w14:paraId="34FF1C98" w14:textId="77777777" w:rsidR="007C246C" w:rsidRPr="00325F80" w:rsidRDefault="007C246C" w:rsidP="007C246C">
            <w:pPr>
              <w:rPr>
                <w:sz w:val="28"/>
                <w:szCs w:val="28"/>
              </w:rPr>
            </w:pPr>
          </w:p>
          <w:p w14:paraId="6D072C0D" w14:textId="77777777" w:rsidR="00325F80" w:rsidRPr="00325F80" w:rsidRDefault="00325F80" w:rsidP="007C246C">
            <w:pPr>
              <w:rPr>
                <w:sz w:val="28"/>
                <w:szCs w:val="28"/>
              </w:rPr>
            </w:pPr>
          </w:p>
        </w:tc>
      </w:tr>
      <w:tr w:rsidR="007C246C" w14:paraId="54352278" w14:textId="77777777" w:rsidTr="00325F80">
        <w:tc>
          <w:tcPr>
            <w:tcW w:w="8217" w:type="dxa"/>
            <w:gridSpan w:val="2"/>
            <w:vAlign w:val="center"/>
          </w:tcPr>
          <w:p w14:paraId="3296CF61" w14:textId="77777777" w:rsidR="007C246C" w:rsidRDefault="007C246C" w:rsidP="00325F80">
            <w:pPr>
              <w:pStyle w:val="Default"/>
              <w:rPr>
                <w:sz w:val="23"/>
                <w:szCs w:val="23"/>
              </w:rPr>
            </w:pPr>
            <w:r>
              <w:rPr>
                <w:sz w:val="23"/>
                <w:szCs w:val="23"/>
              </w:rPr>
              <w:t xml:space="preserve">5. Is there doubt about answers to any of the above questions </w:t>
            </w:r>
          </w:p>
          <w:p w14:paraId="6609F90B" w14:textId="77777777" w:rsidR="007C246C" w:rsidRDefault="007C246C" w:rsidP="00325F80">
            <w:pPr>
              <w:pStyle w:val="Default"/>
              <w:rPr>
                <w:sz w:val="23"/>
                <w:szCs w:val="23"/>
              </w:rPr>
            </w:pPr>
            <w:r>
              <w:rPr>
                <w:sz w:val="23"/>
                <w:szCs w:val="23"/>
              </w:rPr>
              <w:t xml:space="preserve">(e.g. there is not enough information to draw a conclusion)? </w:t>
            </w:r>
          </w:p>
        </w:tc>
        <w:tc>
          <w:tcPr>
            <w:tcW w:w="1134" w:type="dxa"/>
          </w:tcPr>
          <w:p w14:paraId="48A21919" w14:textId="77777777" w:rsidR="007C246C" w:rsidRDefault="007C246C" w:rsidP="007C246C"/>
        </w:tc>
        <w:tc>
          <w:tcPr>
            <w:tcW w:w="850" w:type="dxa"/>
            <w:tcBorders>
              <w:right w:val="nil"/>
            </w:tcBorders>
          </w:tcPr>
          <w:p w14:paraId="6BD18F9B" w14:textId="31BA6913" w:rsidR="007C246C" w:rsidRDefault="00DA1781" w:rsidP="007C246C">
            <w:r>
              <w:t>x</w:t>
            </w:r>
          </w:p>
        </w:tc>
        <w:tc>
          <w:tcPr>
            <w:tcW w:w="255" w:type="dxa"/>
            <w:tcBorders>
              <w:left w:val="nil"/>
            </w:tcBorders>
          </w:tcPr>
          <w:p w14:paraId="238601FE" w14:textId="77777777" w:rsidR="007C246C" w:rsidRPr="00325F80" w:rsidRDefault="007C246C" w:rsidP="007C246C">
            <w:pPr>
              <w:rPr>
                <w:sz w:val="28"/>
                <w:szCs w:val="28"/>
              </w:rPr>
            </w:pPr>
          </w:p>
          <w:p w14:paraId="0F3CABC7" w14:textId="77777777" w:rsidR="00325F80" w:rsidRPr="00325F80" w:rsidRDefault="00325F80" w:rsidP="007C246C">
            <w:pPr>
              <w:rPr>
                <w:sz w:val="28"/>
                <w:szCs w:val="28"/>
              </w:rPr>
            </w:pPr>
          </w:p>
        </w:tc>
      </w:tr>
    </w:tbl>
    <w:p w14:paraId="5B08B5D1" w14:textId="77777777" w:rsidR="007C246C" w:rsidRDefault="007C246C"/>
    <w:p w14:paraId="0F784779" w14:textId="77777777" w:rsidR="007C246C" w:rsidRDefault="007C246C">
      <w:r>
        <w:t xml:space="preserve">If the answer to any of the above questions is </w:t>
      </w:r>
      <w:r w:rsidR="008A1BD8">
        <w:t xml:space="preserve">Yes (other than question 3) or you are unsure of your answers to any of the </w:t>
      </w:r>
      <w:proofErr w:type="gramStart"/>
      <w:r w:rsidR="008A1BD8">
        <w:t>above</w:t>
      </w:r>
      <w:proofErr w:type="gramEnd"/>
      <w:r w:rsidR="008A1BD8">
        <w:t xml:space="preserve"> you should provide further information using the Equality Impact Assessment form</w:t>
      </w:r>
    </w:p>
    <w:p w14:paraId="16DEB4AB" w14:textId="77777777" w:rsidR="007C246C" w:rsidRDefault="007C246C"/>
    <w:tbl>
      <w:tblPr>
        <w:tblStyle w:val="TableGrid"/>
        <w:tblW w:w="0" w:type="auto"/>
        <w:tblLook w:val="04A0" w:firstRow="1" w:lastRow="0" w:firstColumn="1" w:lastColumn="0" w:noHBand="0" w:noVBand="1"/>
      </w:tblPr>
      <w:tblGrid>
        <w:gridCol w:w="10201"/>
        <w:gridCol w:w="255"/>
      </w:tblGrid>
      <w:tr w:rsidR="008A1BD8" w14:paraId="7DAADC9C" w14:textId="77777777" w:rsidTr="008A1BD8">
        <w:tc>
          <w:tcPr>
            <w:tcW w:w="10201" w:type="dxa"/>
            <w:tcBorders>
              <w:right w:val="nil"/>
            </w:tcBorders>
          </w:tcPr>
          <w:p w14:paraId="036DD74E" w14:textId="77777777" w:rsidR="00325F80" w:rsidRDefault="00325F80" w:rsidP="00325F80">
            <w:r>
              <w:t>If an equality assessment is not required briefly explain why:</w:t>
            </w:r>
          </w:p>
          <w:p w14:paraId="0AD9C6F4" w14:textId="77777777" w:rsidR="008A1BD8" w:rsidRDefault="008A1BD8"/>
        </w:tc>
        <w:tc>
          <w:tcPr>
            <w:tcW w:w="255" w:type="dxa"/>
            <w:tcBorders>
              <w:left w:val="nil"/>
            </w:tcBorders>
          </w:tcPr>
          <w:p w14:paraId="4B1F511A" w14:textId="77777777" w:rsidR="008A1BD8" w:rsidRDefault="008A1BD8"/>
          <w:p w14:paraId="65F9C3DC" w14:textId="77777777" w:rsidR="008A1BD8" w:rsidRDefault="008A1BD8"/>
          <w:p w14:paraId="5023141B" w14:textId="77777777" w:rsidR="008A1BD8" w:rsidRDefault="008A1BD8"/>
          <w:p w14:paraId="1F3B1409" w14:textId="77777777" w:rsidR="008A1BD8" w:rsidRDefault="008A1BD8"/>
          <w:p w14:paraId="562C75D1" w14:textId="77777777" w:rsidR="008A1BD8" w:rsidRDefault="008A1BD8"/>
          <w:p w14:paraId="664355AD" w14:textId="77777777" w:rsidR="008A1BD8" w:rsidRDefault="008A1BD8"/>
          <w:p w14:paraId="1A965116" w14:textId="77777777" w:rsidR="008A1BD8" w:rsidRDefault="008A1BD8"/>
          <w:p w14:paraId="7DF4E37C" w14:textId="77777777" w:rsidR="008A1BD8" w:rsidRDefault="008A1BD8"/>
        </w:tc>
      </w:tr>
    </w:tbl>
    <w:p w14:paraId="44FB30F8" w14:textId="77777777" w:rsidR="007C246C" w:rsidRDefault="007C246C"/>
    <w:tbl>
      <w:tblPr>
        <w:tblStyle w:val="TableGrid"/>
        <w:tblW w:w="0" w:type="auto"/>
        <w:tblLook w:val="04A0" w:firstRow="1" w:lastRow="0" w:firstColumn="1" w:lastColumn="0" w:noHBand="0" w:noVBand="1"/>
      </w:tblPr>
      <w:tblGrid>
        <w:gridCol w:w="1271"/>
        <w:gridCol w:w="1985"/>
        <w:gridCol w:w="6945"/>
        <w:gridCol w:w="255"/>
      </w:tblGrid>
      <w:tr w:rsidR="005C08E7" w14:paraId="41AD8650" w14:textId="77777777" w:rsidTr="005C08E7">
        <w:tc>
          <w:tcPr>
            <w:tcW w:w="10201" w:type="dxa"/>
            <w:gridSpan w:val="3"/>
            <w:tcBorders>
              <w:right w:val="nil"/>
            </w:tcBorders>
            <w:vAlign w:val="center"/>
          </w:tcPr>
          <w:p w14:paraId="3140B235" w14:textId="77777777" w:rsidR="005C08E7" w:rsidRPr="005C08E7" w:rsidRDefault="005C08E7" w:rsidP="005C08E7">
            <w:pPr>
              <w:jc w:val="center"/>
              <w:rPr>
                <w:b/>
              </w:rPr>
            </w:pPr>
            <w:r w:rsidRPr="005C08E7">
              <w:rPr>
                <w:b/>
              </w:rPr>
              <w:t>DOCUMENT CHANGE HISTORY</w:t>
            </w:r>
          </w:p>
        </w:tc>
        <w:tc>
          <w:tcPr>
            <w:tcW w:w="255" w:type="dxa"/>
            <w:tcBorders>
              <w:left w:val="nil"/>
            </w:tcBorders>
          </w:tcPr>
          <w:p w14:paraId="1DA6542E" w14:textId="77777777" w:rsidR="005C08E7" w:rsidRDefault="005C08E7"/>
          <w:p w14:paraId="3041E394" w14:textId="77777777" w:rsidR="005C08E7" w:rsidRDefault="005C08E7"/>
        </w:tc>
      </w:tr>
      <w:tr w:rsidR="008A1BD8" w14:paraId="403F8213" w14:textId="77777777" w:rsidTr="00DA1781">
        <w:tc>
          <w:tcPr>
            <w:tcW w:w="1271" w:type="dxa"/>
            <w:vAlign w:val="center"/>
          </w:tcPr>
          <w:p w14:paraId="6B814A1E" w14:textId="77777777" w:rsidR="008A1BD8" w:rsidRPr="005C08E7" w:rsidRDefault="008A1BD8" w:rsidP="005C08E7">
            <w:pPr>
              <w:rPr>
                <w:b/>
              </w:rPr>
            </w:pPr>
            <w:r w:rsidRPr="005C08E7">
              <w:rPr>
                <w:b/>
              </w:rPr>
              <w:t>Version</w:t>
            </w:r>
          </w:p>
        </w:tc>
        <w:tc>
          <w:tcPr>
            <w:tcW w:w="1985" w:type="dxa"/>
            <w:vAlign w:val="center"/>
          </w:tcPr>
          <w:p w14:paraId="491072FA" w14:textId="77777777" w:rsidR="008A1BD8" w:rsidRPr="005C08E7" w:rsidRDefault="008A1BD8" w:rsidP="005C08E7">
            <w:pPr>
              <w:rPr>
                <w:b/>
              </w:rPr>
            </w:pPr>
            <w:r w:rsidRPr="005C08E7">
              <w:rPr>
                <w:b/>
              </w:rPr>
              <w:t>Date</w:t>
            </w:r>
          </w:p>
        </w:tc>
        <w:tc>
          <w:tcPr>
            <w:tcW w:w="6945" w:type="dxa"/>
            <w:tcBorders>
              <w:right w:val="nil"/>
            </w:tcBorders>
            <w:vAlign w:val="center"/>
          </w:tcPr>
          <w:p w14:paraId="2DD4EDDC" w14:textId="77777777" w:rsidR="008A1BD8" w:rsidRPr="005C08E7" w:rsidRDefault="008A1BD8" w:rsidP="005C08E7">
            <w:pPr>
              <w:rPr>
                <w:b/>
              </w:rPr>
            </w:pPr>
            <w:r w:rsidRPr="005C08E7">
              <w:rPr>
                <w:b/>
              </w:rPr>
              <w:t>Comments (viewed / reviewed / amended etc)</w:t>
            </w:r>
          </w:p>
        </w:tc>
        <w:tc>
          <w:tcPr>
            <w:tcW w:w="255" w:type="dxa"/>
            <w:tcBorders>
              <w:left w:val="nil"/>
            </w:tcBorders>
          </w:tcPr>
          <w:p w14:paraId="722B00AE" w14:textId="77777777" w:rsidR="008A1BD8" w:rsidRDefault="008A1BD8"/>
          <w:p w14:paraId="42C6D796" w14:textId="77777777" w:rsidR="008A1BD8" w:rsidRDefault="008A1BD8"/>
        </w:tc>
      </w:tr>
      <w:tr w:rsidR="008A1BD8" w14:paraId="6E1831B3" w14:textId="77777777" w:rsidTr="00DA1781">
        <w:tc>
          <w:tcPr>
            <w:tcW w:w="1271" w:type="dxa"/>
          </w:tcPr>
          <w:p w14:paraId="54E11D2A" w14:textId="14EDE30B" w:rsidR="008A1BD8" w:rsidRDefault="00DA1781">
            <w:r>
              <w:t>1</w:t>
            </w:r>
          </w:p>
        </w:tc>
        <w:tc>
          <w:tcPr>
            <w:tcW w:w="1985" w:type="dxa"/>
          </w:tcPr>
          <w:p w14:paraId="31126E5D" w14:textId="2867106D" w:rsidR="008A1BD8" w:rsidRDefault="00DA1781">
            <w:r>
              <w:t>December 2014</w:t>
            </w:r>
          </w:p>
        </w:tc>
        <w:tc>
          <w:tcPr>
            <w:tcW w:w="6945" w:type="dxa"/>
            <w:tcBorders>
              <w:right w:val="nil"/>
            </w:tcBorders>
          </w:tcPr>
          <w:p w14:paraId="2DE403A5" w14:textId="56954C6E" w:rsidR="008A1BD8" w:rsidRDefault="00DA1781">
            <w:r>
              <w:t>Issued</w:t>
            </w:r>
          </w:p>
        </w:tc>
        <w:tc>
          <w:tcPr>
            <w:tcW w:w="255" w:type="dxa"/>
            <w:tcBorders>
              <w:left w:val="nil"/>
            </w:tcBorders>
          </w:tcPr>
          <w:p w14:paraId="62431CDC" w14:textId="77777777" w:rsidR="008A1BD8" w:rsidRDefault="008A1BD8"/>
          <w:p w14:paraId="49E398E2" w14:textId="77777777" w:rsidR="008A1BD8" w:rsidRDefault="008A1BD8"/>
        </w:tc>
      </w:tr>
      <w:tr w:rsidR="008A1BD8" w14:paraId="16287F21" w14:textId="77777777" w:rsidTr="00DA1781">
        <w:tc>
          <w:tcPr>
            <w:tcW w:w="1271" w:type="dxa"/>
          </w:tcPr>
          <w:p w14:paraId="5BE93A62" w14:textId="052BCE61" w:rsidR="008A1BD8" w:rsidRDefault="00DA1781">
            <w:r>
              <w:t>2</w:t>
            </w:r>
          </w:p>
        </w:tc>
        <w:tc>
          <w:tcPr>
            <w:tcW w:w="1985" w:type="dxa"/>
          </w:tcPr>
          <w:p w14:paraId="384BA73E" w14:textId="4FF6C531" w:rsidR="008A1BD8" w:rsidRDefault="00DA1781">
            <w:r>
              <w:t>October 2019</w:t>
            </w:r>
          </w:p>
        </w:tc>
        <w:tc>
          <w:tcPr>
            <w:tcW w:w="6945" w:type="dxa"/>
            <w:tcBorders>
              <w:right w:val="nil"/>
            </w:tcBorders>
          </w:tcPr>
          <w:p w14:paraId="34B3F2EB" w14:textId="414F8010" w:rsidR="008A1BD8" w:rsidRDefault="00DA1781">
            <w:r>
              <w:t>Reviewed</w:t>
            </w:r>
          </w:p>
        </w:tc>
        <w:tc>
          <w:tcPr>
            <w:tcW w:w="255" w:type="dxa"/>
            <w:tcBorders>
              <w:left w:val="nil"/>
            </w:tcBorders>
          </w:tcPr>
          <w:p w14:paraId="7D34F5C7" w14:textId="77777777" w:rsidR="008A1BD8" w:rsidRDefault="008A1BD8"/>
          <w:p w14:paraId="0B4020A7" w14:textId="77777777" w:rsidR="008A1BD8" w:rsidRDefault="008A1BD8"/>
        </w:tc>
      </w:tr>
      <w:tr w:rsidR="008A1BD8" w14:paraId="1D7B270A" w14:textId="77777777" w:rsidTr="00DA1781">
        <w:tc>
          <w:tcPr>
            <w:tcW w:w="1271" w:type="dxa"/>
          </w:tcPr>
          <w:p w14:paraId="4F904CB7" w14:textId="7C99073F" w:rsidR="008A1BD8" w:rsidRDefault="00DA1781">
            <w:r>
              <w:t>3</w:t>
            </w:r>
          </w:p>
        </w:tc>
        <w:tc>
          <w:tcPr>
            <w:tcW w:w="1985" w:type="dxa"/>
          </w:tcPr>
          <w:p w14:paraId="06971CD3" w14:textId="0E48A069" w:rsidR="008A1BD8" w:rsidRDefault="00DA1781">
            <w:r>
              <w:t>August 2025</w:t>
            </w:r>
          </w:p>
        </w:tc>
        <w:tc>
          <w:tcPr>
            <w:tcW w:w="6945" w:type="dxa"/>
            <w:tcBorders>
              <w:right w:val="nil"/>
            </w:tcBorders>
          </w:tcPr>
          <w:p w14:paraId="2A1F701D" w14:textId="5CF7D71E" w:rsidR="008A1BD8" w:rsidRDefault="00DA1781">
            <w:r>
              <w:t>Reviewed by Louise Knox and New template</w:t>
            </w:r>
          </w:p>
        </w:tc>
        <w:tc>
          <w:tcPr>
            <w:tcW w:w="255" w:type="dxa"/>
            <w:tcBorders>
              <w:left w:val="nil"/>
            </w:tcBorders>
          </w:tcPr>
          <w:p w14:paraId="03EFCA41" w14:textId="77777777" w:rsidR="008A1BD8" w:rsidRDefault="008A1BD8"/>
          <w:p w14:paraId="5F96A722" w14:textId="77777777" w:rsidR="008A1BD8" w:rsidRDefault="008A1BD8"/>
        </w:tc>
      </w:tr>
      <w:tr w:rsidR="008A1BD8" w14:paraId="5B95CD12" w14:textId="77777777" w:rsidTr="00DA1781">
        <w:tc>
          <w:tcPr>
            <w:tcW w:w="1271" w:type="dxa"/>
          </w:tcPr>
          <w:p w14:paraId="5220BBB2" w14:textId="77777777" w:rsidR="008A1BD8" w:rsidRDefault="008A1BD8"/>
        </w:tc>
        <w:tc>
          <w:tcPr>
            <w:tcW w:w="1985" w:type="dxa"/>
          </w:tcPr>
          <w:p w14:paraId="13CB595B" w14:textId="77777777" w:rsidR="008A1BD8" w:rsidRDefault="008A1BD8"/>
        </w:tc>
        <w:tc>
          <w:tcPr>
            <w:tcW w:w="6945" w:type="dxa"/>
            <w:tcBorders>
              <w:right w:val="nil"/>
            </w:tcBorders>
          </w:tcPr>
          <w:p w14:paraId="6D9C8D39" w14:textId="77777777" w:rsidR="008A1BD8" w:rsidRDefault="008A1BD8"/>
        </w:tc>
        <w:tc>
          <w:tcPr>
            <w:tcW w:w="255" w:type="dxa"/>
            <w:tcBorders>
              <w:left w:val="nil"/>
            </w:tcBorders>
          </w:tcPr>
          <w:p w14:paraId="675E05EE" w14:textId="77777777" w:rsidR="008A1BD8" w:rsidRDefault="008A1BD8"/>
          <w:p w14:paraId="2FC17F8B" w14:textId="77777777" w:rsidR="008A1BD8" w:rsidRDefault="008A1BD8"/>
        </w:tc>
      </w:tr>
    </w:tbl>
    <w:p w14:paraId="0A4F7224" w14:textId="77777777" w:rsidR="007C246C" w:rsidRDefault="007C246C"/>
    <w:tbl>
      <w:tblPr>
        <w:tblStyle w:val="TableGrid"/>
        <w:tblW w:w="0" w:type="auto"/>
        <w:tblLook w:val="04A0" w:firstRow="1" w:lastRow="0" w:firstColumn="1" w:lastColumn="0" w:noHBand="0" w:noVBand="1"/>
      </w:tblPr>
      <w:tblGrid>
        <w:gridCol w:w="2547"/>
        <w:gridCol w:w="7654"/>
        <w:gridCol w:w="255"/>
      </w:tblGrid>
      <w:tr w:rsidR="008A1BD8" w14:paraId="3C9495DE" w14:textId="77777777" w:rsidTr="008A1BD8">
        <w:tc>
          <w:tcPr>
            <w:tcW w:w="2547" w:type="dxa"/>
            <w:vAlign w:val="center"/>
          </w:tcPr>
          <w:p w14:paraId="47980370" w14:textId="77777777" w:rsidR="008A1BD8" w:rsidRDefault="008A1BD8" w:rsidP="008A1BD8">
            <w:r>
              <w:t>Ratification Body</w:t>
            </w:r>
          </w:p>
        </w:tc>
        <w:tc>
          <w:tcPr>
            <w:tcW w:w="7654" w:type="dxa"/>
            <w:tcBorders>
              <w:right w:val="nil"/>
            </w:tcBorders>
            <w:vAlign w:val="center"/>
          </w:tcPr>
          <w:p w14:paraId="7393BEC3" w14:textId="575DCA07" w:rsidR="008A1BD8" w:rsidRDefault="008A1BD8" w:rsidP="008A1BD8">
            <w:r>
              <w:t>Board of Trustees</w:t>
            </w:r>
          </w:p>
        </w:tc>
        <w:tc>
          <w:tcPr>
            <w:tcW w:w="255" w:type="dxa"/>
            <w:tcBorders>
              <w:left w:val="nil"/>
            </w:tcBorders>
          </w:tcPr>
          <w:p w14:paraId="5AE48A43" w14:textId="77777777" w:rsidR="008A1BD8" w:rsidRDefault="008A1BD8"/>
          <w:p w14:paraId="50F40DEB" w14:textId="77777777" w:rsidR="008A1BD8" w:rsidRDefault="008A1BD8"/>
        </w:tc>
      </w:tr>
    </w:tbl>
    <w:p w14:paraId="77A52294" w14:textId="77777777" w:rsidR="008A1BD8" w:rsidRDefault="008A1BD8"/>
    <w:p w14:paraId="007DCDA8" w14:textId="77777777" w:rsidR="008A1BD8" w:rsidRDefault="008A1BD8">
      <w:pPr>
        <w:spacing w:after="160" w:line="259" w:lineRule="auto"/>
      </w:pPr>
      <w:r>
        <w:br w:type="page"/>
      </w:r>
    </w:p>
    <w:p w14:paraId="7E99AAD8" w14:textId="46B291D9" w:rsidR="005C08E7" w:rsidRDefault="005C08E7" w:rsidP="004E203D">
      <w:pPr>
        <w:pStyle w:val="Default"/>
        <w:numPr>
          <w:ilvl w:val="0"/>
          <w:numId w:val="13"/>
        </w:numPr>
        <w:rPr>
          <w:b/>
          <w:bCs/>
          <w:sz w:val="23"/>
          <w:szCs w:val="23"/>
        </w:rPr>
      </w:pPr>
      <w:r>
        <w:rPr>
          <w:b/>
          <w:bCs/>
          <w:sz w:val="23"/>
          <w:szCs w:val="23"/>
        </w:rPr>
        <w:lastRenderedPageBreak/>
        <w:t xml:space="preserve">INTRODUCTION </w:t>
      </w:r>
    </w:p>
    <w:p w14:paraId="3DD355C9" w14:textId="77777777" w:rsidR="003C7379" w:rsidRDefault="003C7379" w:rsidP="003C7379">
      <w:pPr>
        <w:pStyle w:val="Default"/>
        <w:rPr>
          <w:i/>
          <w:iCs/>
          <w:color w:val="C45911" w:themeColor="accent2" w:themeShade="BF"/>
          <w:sz w:val="22"/>
          <w:szCs w:val="22"/>
        </w:rPr>
      </w:pPr>
    </w:p>
    <w:p w14:paraId="094D26E0" w14:textId="77777777" w:rsidR="003C7379" w:rsidRPr="003C7379" w:rsidRDefault="003C7379" w:rsidP="003C7379">
      <w:pPr>
        <w:pStyle w:val="Default"/>
        <w:rPr>
          <w:i/>
          <w:iCs/>
          <w:color w:val="C45911" w:themeColor="accent2" w:themeShade="BF"/>
          <w:sz w:val="22"/>
          <w:szCs w:val="22"/>
        </w:rPr>
      </w:pPr>
      <w:r w:rsidRPr="003C7379">
        <w:rPr>
          <w:color w:val="000000" w:themeColor="text1"/>
          <w:sz w:val="22"/>
          <w:szCs w:val="22"/>
        </w:rPr>
        <w:t>The following protocol outlines the overall roles and supporting responsibilities of the Pentreath board of trustees and managerial staff.</w:t>
      </w:r>
    </w:p>
    <w:p w14:paraId="0C14B7BA" w14:textId="77777777" w:rsidR="004E203D" w:rsidRDefault="004E203D" w:rsidP="00CB756D">
      <w:pPr>
        <w:pStyle w:val="Default"/>
        <w:rPr>
          <w:color w:val="C45911" w:themeColor="accent2" w:themeShade="BF"/>
          <w:sz w:val="22"/>
          <w:szCs w:val="22"/>
        </w:rPr>
      </w:pPr>
    </w:p>
    <w:p w14:paraId="70F508BB" w14:textId="77777777" w:rsidR="004E203D" w:rsidRPr="00CB756D" w:rsidRDefault="00460D2E" w:rsidP="004E203D">
      <w:pPr>
        <w:pStyle w:val="Default"/>
        <w:numPr>
          <w:ilvl w:val="0"/>
          <w:numId w:val="13"/>
        </w:numPr>
        <w:rPr>
          <w:color w:val="auto"/>
          <w:sz w:val="22"/>
          <w:szCs w:val="22"/>
        </w:rPr>
      </w:pPr>
      <w:r w:rsidRPr="004E203D">
        <w:rPr>
          <w:b/>
          <w:bCs/>
          <w:color w:val="auto"/>
          <w:sz w:val="22"/>
          <w:szCs w:val="22"/>
        </w:rPr>
        <w:t>POLICY DETAILS</w:t>
      </w:r>
    </w:p>
    <w:p w14:paraId="4E5A5A08" w14:textId="77777777" w:rsidR="00CB756D" w:rsidRDefault="00CB756D" w:rsidP="00CB756D">
      <w:pPr>
        <w:pStyle w:val="Default"/>
        <w:rPr>
          <w:b/>
          <w:bCs/>
          <w:color w:val="auto"/>
          <w:sz w:val="22"/>
          <w:szCs w:val="22"/>
        </w:rPr>
      </w:pPr>
    </w:p>
    <w:p w14:paraId="5C2C4E98" w14:textId="0BBF6561" w:rsidR="003C7379" w:rsidRPr="00CB756D" w:rsidRDefault="003C7379" w:rsidP="00CB756D">
      <w:pPr>
        <w:pStyle w:val="Default"/>
        <w:numPr>
          <w:ilvl w:val="1"/>
          <w:numId w:val="15"/>
        </w:numPr>
        <w:rPr>
          <w:iCs/>
          <w:color w:val="auto"/>
          <w:sz w:val="22"/>
          <w:szCs w:val="22"/>
        </w:rPr>
      </w:pPr>
      <w:r w:rsidRPr="00CB756D">
        <w:rPr>
          <w:iCs/>
          <w:color w:val="auto"/>
          <w:sz w:val="22"/>
          <w:szCs w:val="22"/>
        </w:rPr>
        <w:t>Chairman’s Action</w:t>
      </w:r>
    </w:p>
    <w:p w14:paraId="7C9A6A30" w14:textId="77777777" w:rsidR="00637912" w:rsidRPr="00CB756D" w:rsidRDefault="00637912" w:rsidP="00637912">
      <w:pPr>
        <w:spacing w:before="100" w:beforeAutospacing="1" w:after="100" w:afterAutospacing="1"/>
        <w:jc w:val="both"/>
        <w:rPr>
          <w:rFonts w:eastAsia="Times New Roman"/>
          <w:iCs/>
          <w:lang w:eastAsia="en-GB"/>
        </w:rPr>
      </w:pPr>
      <w:r w:rsidRPr="00CB756D">
        <w:rPr>
          <w:rFonts w:eastAsia="Times New Roman"/>
          <w:iCs/>
          <w:lang w:eastAsia="en-GB"/>
        </w:rPr>
        <w:t xml:space="preserve">The Chairman may take urgent decisions when: </w:t>
      </w:r>
    </w:p>
    <w:p w14:paraId="4AE8B1FE" w14:textId="77777777" w:rsidR="00637912" w:rsidRPr="00CB756D" w:rsidRDefault="00637912" w:rsidP="00637912">
      <w:pPr>
        <w:numPr>
          <w:ilvl w:val="0"/>
          <w:numId w:val="6"/>
        </w:numPr>
        <w:spacing w:before="100" w:beforeAutospacing="1" w:after="100" w:afterAutospacing="1"/>
        <w:jc w:val="both"/>
        <w:rPr>
          <w:rFonts w:eastAsia="Times New Roman"/>
          <w:iCs/>
          <w:lang w:eastAsia="en-GB"/>
        </w:rPr>
      </w:pPr>
      <w:r w:rsidRPr="00CB756D">
        <w:rPr>
          <w:rFonts w:eastAsia="Times New Roman"/>
          <w:iCs/>
          <w:lang w:eastAsia="en-GB"/>
        </w:rPr>
        <w:t>The matter requires immediate attention and cannot wait for a board meeting.</w:t>
      </w:r>
    </w:p>
    <w:p w14:paraId="5C012F2B" w14:textId="77777777" w:rsidR="00637912" w:rsidRPr="00CB756D" w:rsidRDefault="00637912" w:rsidP="00637912">
      <w:pPr>
        <w:numPr>
          <w:ilvl w:val="0"/>
          <w:numId w:val="6"/>
        </w:numPr>
        <w:spacing w:before="100" w:beforeAutospacing="1" w:after="100" w:afterAutospacing="1"/>
        <w:jc w:val="both"/>
        <w:rPr>
          <w:rFonts w:eastAsia="Times New Roman"/>
          <w:iCs/>
          <w:lang w:eastAsia="en-GB"/>
        </w:rPr>
      </w:pPr>
      <w:r w:rsidRPr="00CB756D">
        <w:rPr>
          <w:rFonts w:eastAsia="Times New Roman"/>
          <w:iCs/>
          <w:lang w:eastAsia="en-GB"/>
        </w:rPr>
        <w:t>The issue is strategic, not operational.</w:t>
      </w:r>
    </w:p>
    <w:p w14:paraId="347B72EB" w14:textId="77777777" w:rsidR="00637912" w:rsidRPr="00CB756D" w:rsidRDefault="00637912" w:rsidP="00637912">
      <w:pPr>
        <w:numPr>
          <w:ilvl w:val="0"/>
          <w:numId w:val="6"/>
        </w:numPr>
        <w:spacing w:before="100" w:beforeAutospacing="1" w:after="100" w:afterAutospacing="1"/>
        <w:jc w:val="both"/>
        <w:rPr>
          <w:rFonts w:eastAsia="Times New Roman"/>
          <w:iCs/>
          <w:lang w:eastAsia="en-GB"/>
        </w:rPr>
      </w:pPr>
      <w:r w:rsidRPr="00CB756D">
        <w:rPr>
          <w:rFonts w:eastAsia="Times New Roman"/>
          <w:iCs/>
          <w:lang w:eastAsia="en-GB"/>
        </w:rPr>
        <w:t>All board members are informed promptly, preferably electronically.</w:t>
      </w:r>
    </w:p>
    <w:p w14:paraId="7EF4633B" w14:textId="77777777" w:rsidR="00637912" w:rsidRPr="00CB756D" w:rsidRDefault="00637912" w:rsidP="00637912">
      <w:pPr>
        <w:numPr>
          <w:ilvl w:val="0"/>
          <w:numId w:val="6"/>
        </w:numPr>
        <w:spacing w:before="100" w:beforeAutospacing="1" w:after="100" w:afterAutospacing="1"/>
        <w:jc w:val="both"/>
        <w:rPr>
          <w:rFonts w:eastAsia="Times New Roman"/>
          <w:iCs/>
          <w:lang w:eastAsia="en-GB"/>
        </w:rPr>
      </w:pPr>
      <w:r w:rsidRPr="00CB756D">
        <w:rPr>
          <w:rFonts w:eastAsia="Times New Roman"/>
          <w:iCs/>
          <w:lang w:eastAsia="en-GB"/>
        </w:rPr>
        <w:t>The rationale behind the decision is clearly communicated to all trustees.</w:t>
      </w:r>
    </w:p>
    <w:p w14:paraId="008FC1AD" w14:textId="77777777" w:rsidR="00637912" w:rsidRPr="00CB756D" w:rsidRDefault="00637912" w:rsidP="00637912">
      <w:pPr>
        <w:spacing w:before="100" w:beforeAutospacing="1" w:after="100" w:afterAutospacing="1"/>
        <w:jc w:val="both"/>
        <w:rPr>
          <w:rFonts w:eastAsia="Times New Roman"/>
          <w:iCs/>
          <w:lang w:eastAsia="en-GB"/>
        </w:rPr>
      </w:pPr>
      <w:r w:rsidRPr="00CB756D">
        <w:rPr>
          <w:rFonts w:eastAsia="Times New Roman"/>
          <w:iCs/>
          <w:lang w:eastAsia="en-GB"/>
        </w:rPr>
        <w:t>Such decisions must be documented and ratified at the next board meeting.</w:t>
      </w:r>
    </w:p>
    <w:p w14:paraId="544D1F20" w14:textId="70D7078B" w:rsidR="009F252E" w:rsidRPr="00CB756D" w:rsidRDefault="009F252E" w:rsidP="00CB756D">
      <w:pPr>
        <w:pStyle w:val="ListParagraph"/>
        <w:numPr>
          <w:ilvl w:val="1"/>
          <w:numId w:val="15"/>
        </w:numPr>
        <w:spacing w:before="100" w:beforeAutospacing="1" w:after="100" w:afterAutospacing="1"/>
        <w:jc w:val="both"/>
        <w:outlineLvl w:val="2"/>
        <w:rPr>
          <w:rFonts w:ascii="Arial" w:eastAsia="Times New Roman" w:hAnsi="Arial" w:cs="Arial"/>
          <w:iCs/>
          <w:lang w:eastAsia="en-GB"/>
        </w:rPr>
      </w:pPr>
      <w:r w:rsidRPr="00CB756D">
        <w:rPr>
          <w:rFonts w:ascii="Arial" w:eastAsia="Times New Roman" w:hAnsi="Arial" w:cs="Arial"/>
          <w:iCs/>
          <w:lang w:eastAsia="en-GB"/>
        </w:rPr>
        <w:t>Operational vs. Strategic Decisions</w:t>
      </w:r>
    </w:p>
    <w:p w14:paraId="0F02C6AC" w14:textId="77777777" w:rsidR="00C92955" w:rsidRPr="00CB756D" w:rsidRDefault="00C92955" w:rsidP="00C92955">
      <w:pPr>
        <w:spacing w:before="100" w:beforeAutospacing="1" w:after="100" w:afterAutospacing="1"/>
        <w:jc w:val="both"/>
        <w:rPr>
          <w:rFonts w:eastAsia="Times New Roman"/>
          <w:iCs/>
          <w:lang w:eastAsia="en-GB"/>
        </w:rPr>
      </w:pPr>
      <w:r w:rsidRPr="00CB756D">
        <w:rPr>
          <w:rFonts w:eastAsia="Times New Roman"/>
          <w:iCs/>
          <w:lang w:eastAsia="en-GB"/>
        </w:rPr>
        <w:t>Operational decisions are those made by management within the scope of their authority. Strategic decisions, which require board approval, include:</w:t>
      </w:r>
    </w:p>
    <w:p w14:paraId="788C5C91" w14:textId="77777777" w:rsidR="00C92955" w:rsidRPr="00CB756D" w:rsidRDefault="00C92955" w:rsidP="00C92955">
      <w:pPr>
        <w:numPr>
          <w:ilvl w:val="0"/>
          <w:numId w:val="7"/>
        </w:numPr>
        <w:spacing w:before="100" w:beforeAutospacing="1" w:after="100" w:afterAutospacing="1"/>
        <w:jc w:val="both"/>
        <w:rPr>
          <w:rFonts w:eastAsia="Times New Roman"/>
          <w:iCs/>
          <w:lang w:eastAsia="en-GB"/>
        </w:rPr>
      </w:pPr>
      <w:r w:rsidRPr="00CB756D">
        <w:rPr>
          <w:rFonts w:eastAsia="Times New Roman"/>
          <w:iCs/>
          <w:lang w:eastAsia="en-GB"/>
        </w:rPr>
        <w:t>Financial commitments outside the approved budget.</w:t>
      </w:r>
    </w:p>
    <w:p w14:paraId="3BC82DB2" w14:textId="77777777" w:rsidR="00C92955" w:rsidRPr="00CB756D" w:rsidRDefault="00C92955" w:rsidP="00C92955">
      <w:pPr>
        <w:numPr>
          <w:ilvl w:val="0"/>
          <w:numId w:val="7"/>
        </w:numPr>
        <w:spacing w:before="100" w:beforeAutospacing="1" w:after="100" w:afterAutospacing="1"/>
        <w:jc w:val="both"/>
        <w:rPr>
          <w:rFonts w:eastAsia="Times New Roman"/>
          <w:iCs/>
          <w:lang w:eastAsia="en-GB"/>
        </w:rPr>
      </w:pPr>
      <w:r w:rsidRPr="00CB756D">
        <w:rPr>
          <w:rFonts w:eastAsia="Times New Roman"/>
          <w:iCs/>
          <w:lang w:eastAsia="en-GB"/>
        </w:rPr>
        <w:t>Significant policy changes.</w:t>
      </w:r>
    </w:p>
    <w:p w14:paraId="098DEBCC" w14:textId="77777777" w:rsidR="00C92955" w:rsidRPr="00CB756D" w:rsidRDefault="00C92955" w:rsidP="00C92955">
      <w:pPr>
        <w:numPr>
          <w:ilvl w:val="0"/>
          <w:numId w:val="7"/>
        </w:numPr>
        <w:spacing w:before="100" w:beforeAutospacing="1" w:after="100" w:afterAutospacing="1"/>
        <w:jc w:val="both"/>
        <w:rPr>
          <w:rFonts w:eastAsia="Times New Roman"/>
          <w:iCs/>
          <w:lang w:eastAsia="en-GB"/>
        </w:rPr>
      </w:pPr>
      <w:r w:rsidRPr="00CB756D">
        <w:rPr>
          <w:rFonts w:eastAsia="Times New Roman"/>
          <w:iCs/>
          <w:lang w:eastAsia="en-GB"/>
        </w:rPr>
        <w:t>Matters requiring reporting to the Charity Commission.</w:t>
      </w:r>
    </w:p>
    <w:p w14:paraId="249B9454" w14:textId="77777777" w:rsidR="00C92955" w:rsidRPr="00CB756D" w:rsidRDefault="00C92955" w:rsidP="00C92955">
      <w:pPr>
        <w:spacing w:before="100" w:beforeAutospacing="1" w:after="100" w:afterAutospacing="1"/>
        <w:jc w:val="both"/>
        <w:rPr>
          <w:rFonts w:eastAsia="Times New Roman"/>
          <w:iCs/>
          <w:lang w:eastAsia="en-GB"/>
        </w:rPr>
      </w:pPr>
      <w:r w:rsidRPr="00CB756D">
        <w:rPr>
          <w:rFonts w:eastAsia="Times New Roman"/>
          <w:iCs/>
          <w:lang w:eastAsia="en-GB"/>
        </w:rPr>
        <w:t>When in doubt, consult the Chairman or Vice Chairman.</w:t>
      </w:r>
    </w:p>
    <w:p w14:paraId="06BBA33E" w14:textId="77777777" w:rsidR="003C7379" w:rsidRPr="00CB756D" w:rsidRDefault="003C7379" w:rsidP="003C7379">
      <w:pPr>
        <w:jc w:val="both"/>
        <w:rPr>
          <w:iCs/>
        </w:rPr>
      </w:pPr>
    </w:p>
    <w:p w14:paraId="464FCBC1" w14:textId="64659504" w:rsidR="00520E59" w:rsidRPr="00D1113C" w:rsidRDefault="003C7379" w:rsidP="003C7379">
      <w:pPr>
        <w:pStyle w:val="ListParagraph"/>
        <w:numPr>
          <w:ilvl w:val="1"/>
          <w:numId w:val="15"/>
        </w:numPr>
        <w:jc w:val="both"/>
        <w:rPr>
          <w:rFonts w:ascii="Arial" w:hAnsi="Arial" w:cs="Arial"/>
          <w:iCs/>
        </w:rPr>
      </w:pPr>
      <w:r w:rsidRPr="00CB756D">
        <w:rPr>
          <w:rFonts w:ascii="Arial" w:hAnsi="Arial" w:cs="Arial"/>
          <w:iCs/>
        </w:rPr>
        <w:t>Board Meetings</w:t>
      </w:r>
    </w:p>
    <w:p w14:paraId="5C1B5513" w14:textId="77777777" w:rsidR="00E01745" w:rsidRPr="00CB756D" w:rsidRDefault="00E01745" w:rsidP="00E01745">
      <w:pPr>
        <w:numPr>
          <w:ilvl w:val="0"/>
          <w:numId w:val="8"/>
        </w:numPr>
        <w:spacing w:before="100" w:beforeAutospacing="1" w:after="100" w:afterAutospacing="1"/>
        <w:jc w:val="both"/>
        <w:rPr>
          <w:rFonts w:eastAsia="Times New Roman"/>
          <w:iCs/>
          <w:lang w:eastAsia="en-GB"/>
        </w:rPr>
      </w:pPr>
      <w:r w:rsidRPr="00CB756D">
        <w:rPr>
          <w:rFonts w:eastAsia="Times New Roman"/>
          <w:iCs/>
          <w:lang w:eastAsia="en-GB"/>
        </w:rPr>
        <w:t>Allocate time at the end of each meeting for confidential discussions.</w:t>
      </w:r>
    </w:p>
    <w:p w14:paraId="1F9BB22A" w14:textId="77777777" w:rsidR="00E01745" w:rsidRPr="00CB756D" w:rsidRDefault="00E01745" w:rsidP="00E01745">
      <w:pPr>
        <w:numPr>
          <w:ilvl w:val="0"/>
          <w:numId w:val="8"/>
        </w:numPr>
        <w:spacing w:before="100" w:beforeAutospacing="1" w:after="100" w:afterAutospacing="1"/>
        <w:jc w:val="both"/>
        <w:rPr>
          <w:rFonts w:eastAsia="Times New Roman"/>
          <w:iCs/>
          <w:lang w:eastAsia="en-GB"/>
        </w:rPr>
      </w:pPr>
      <w:r w:rsidRPr="00CB756D">
        <w:rPr>
          <w:rFonts w:eastAsia="Times New Roman"/>
          <w:iCs/>
          <w:lang w:eastAsia="en-GB"/>
        </w:rPr>
        <w:t>Ensure only trustees are present during in-camera sessions.</w:t>
      </w:r>
    </w:p>
    <w:p w14:paraId="330EBD31" w14:textId="77777777" w:rsidR="00E01745" w:rsidRPr="00CB756D" w:rsidRDefault="00E01745" w:rsidP="00E01745">
      <w:pPr>
        <w:numPr>
          <w:ilvl w:val="0"/>
          <w:numId w:val="8"/>
        </w:numPr>
        <w:spacing w:before="100" w:beforeAutospacing="1" w:after="100" w:afterAutospacing="1"/>
        <w:jc w:val="both"/>
        <w:rPr>
          <w:rFonts w:eastAsia="Times New Roman"/>
          <w:iCs/>
          <w:lang w:eastAsia="en-GB"/>
        </w:rPr>
      </w:pPr>
      <w:r w:rsidRPr="00CB756D">
        <w:rPr>
          <w:rFonts w:eastAsia="Times New Roman"/>
          <w:iCs/>
          <w:lang w:eastAsia="en-GB"/>
        </w:rPr>
        <w:t>Minutes should be taken by an independent person and circulated within two weeks.</w:t>
      </w:r>
    </w:p>
    <w:p w14:paraId="577CC2A9" w14:textId="77777777" w:rsidR="00E01745" w:rsidRPr="00CB756D" w:rsidRDefault="00E01745" w:rsidP="00E01745">
      <w:pPr>
        <w:numPr>
          <w:ilvl w:val="0"/>
          <w:numId w:val="8"/>
        </w:numPr>
        <w:spacing w:before="100" w:beforeAutospacing="1" w:after="100" w:afterAutospacing="1"/>
        <w:jc w:val="both"/>
        <w:rPr>
          <w:rFonts w:eastAsia="Times New Roman"/>
          <w:iCs/>
          <w:lang w:eastAsia="en-GB"/>
        </w:rPr>
      </w:pPr>
      <w:r w:rsidRPr="00CB756D">
        <w:rPr>
          <w:rFonts w:eastAsia="Times New Roman"/>
          <w:iCs/>
          <w:lang w:eastAsia="en-GB"/>
        </w:rPr>
        <w:t>Minutes will not be audio recorded unless no minute taker is available.</w:t>
      </w:r>
    </w:p>
    <w:p w14:paraId="6844C0A2" w14:textId="77777777" w:rsidR="00E01745" w:rsidRPr="00CB756D" w:rsidRDefault="00E01745" w:rsidP="00E01745">
      <w:pPr>
        <w:numPr>
          <w:ilvl w:val="0"/>
          <w:numId w:val="8"/>
        </w:numPr>
        <w:spacing w:before="100" w:beforeAutospacing="1" w:after="100" w:afterAutospacing="1"/>
        <w:jc w:val="both"/>
        <w:rPr>
          <w:rFonts w:eastAsia="Times New Roman"/>
          <w:iCs/>
          <w:lang w:eastAsia="en-GB"/>
        </w:rPr>
      </w:pPr>
      <w:r w:rsidRPr="00CB756D">
        <w:rPr>
          <w:rFonts w:eastAsia="Times New Roman"/>
          <w:iCs/>
          <w:lang w:eastAsia="en-GB"/>
        </w:rPr>
        <w:t>The Chairman will summarize discussions and call for a vote if clarity is needed.</w:t>
      </w:r>
    </w:p>
    <w:p w14:paraId="096F9E0C" w14:textId="483E7987" w:rsidR="004E203D" w:rsidRPr="00CB756D" w:rsidRDefault="004E203D" w:rsidP="00CB756D">
      <w:pPr>
        <w:pStyle w:val="ListParagraph"/>
        <w:numPr>
          <w:ilvl w:val="1"/>
          <w:numId w:val="15"/>
        </w:numPr>
        <w:spacing w:before="100" w:beforeAutospacing="1" w:after="100" w:afterAutospacing="1"/>
        <w:jc w:val="both"/>
        <w:outlineLvl w:val="2"/>
        <w:rPr>
          <w:rFonts w:ascii="Arial" w:eastAsia="Times New Roman" w:hAnsi="Arial" w:cs="Arial"/>
          <w:iCs/>
          <w:lang w:eastAsia="en-GB"/>
        </w:rPr>
      </w:pPr>
      <w:r w:rsidRPr="00CB756D">
        <w:rPr>
          <w:rFonts w:ascii="Arial" w:eastAsia="Times New Roman" w:hAnsi="Arial" w:cs="Arial"/>
          <w:iCs/>
          <w:lang w:eastAsia="en-GB"/>
        </w:rPr>
        <w:t>Decision-Making</w:t>
      </w:r>
    </w:p>
    <w:p w14:paraId="1A0ED8F3" w14:textId="77777777" w:rsidR="004E203D" w:rsidRPr="00CB756D" w:rsidRDefault="004E203D" w:rsidP="004E203D">
      <w:pPr>
        <w:spacing w:before="100" w:beforeAutospacing="1" w:after="100" w:afterAutospacing="1"/>
        <w:jc w:val="both"/>
        <w:rPr>
          <w:rFonts w:eastAsia="Times New Roman"/>
          <w:iCs/>
          <w:lang w:eastAsia="en-GB"/>
        </w:rPr>
      </w:pPr>
      <w:r w:rsidRPr="00CB756D">
        <w:rPr>
          <w:rFonts w:eastAsia="Times New Roman"/>
          <w:iCs/>
          <w:lang w:eastAsia="en-GB"/>
        </w:rPr>
        <w:t xml:space="preserve">Trustees must make decisions collectively, ensuring they: </w:t>
      </w:r>
    </w:p>
    <w:p w14:paraId="46A5AAA8" w14:textId="77777777" w:rsidR="004E203D" w:rsidRPr="00CB756D" w:rsidRDefault="004E203D" w:rsidP="004E203D">
      <w:pPr>
        <w:numPr>
          <w:ilvl w:val="0"/>
          <w:numId w:val="9"/>
        </w:numPr>
        <w:spacing w:before="100" w:beforeAutospacing="1" w:after="100" w:afterAutospacing="1"/>
        <w:jc w:val="both"/>
        <w:rPr>
          <w:rFonts w:eastAsia="Times New Roman"/>
          <w:iCs/>
          <w:lang w:eastAsia="en-GB"/>
        </w:rPr>
      </w:pPr>
      <w:r w:rsidRPr="00CB756D">
        <w:rPr>
          <w:rFonts w:eastAsia="Times New Roman"/>
          <w:iCs/>
          <w:lang w:eastAsia="en-GB"/>
        </w:rPr>
        <w:t>Act in the charity’s best interests.</w:t>
      </w:r>
    </w:p>
    <w:p w14:paraId="5C90DAB4" w14:textId="77777777" w:rsidR="004E203D" w:rsidRPr="00CB756D" w:rsidRDefault="004E203D" w:rsidP="004E203D">
      <w:pPr>
        <w:numPr>
          <w:ilvl w:val="0"/>
          <w:numId w:val="9"/>
        </w:numPr>
        <w:spacing w:before="100" w:beforeAutospacing="1" w:after="100" w:afterAutospacing="1"/>
        <w:jc w:val="both"/>
        <w:rPr>
          <w:rFonts w:eastAsia="Times New Roman"/>
          <w:iCs/>
          <w:lang w:eastAsia="en-GB"/>
        </w:rPr>
      </w:pPr>
      <w:r w:rsidRPr="00CB756D">
        <w:rPr>
          <w:rFonts w:eastAsia="Times New Roman"/>
          <w:iCs/>
          <w:lang w:eastAsia="en-GB"/>
        </w:rPr>
        <w:t>Make informed and balanced decisions.</w:t>
      </w:r>
    </w:p>
    <w:p w14:paraId="3C2305E8" w14:textId="77777777" w:rsidR="004E203D" w:rsidRPr="00CB756D" w:rsidRDefault="004E203D" w:rsidP="004E203D">
      <w:pPr>
        <w:numPr>
          <w:ilvl w:val="0"/>
          <w:numId w:val="9"/>
        </w:numPr>
        <w:spacing w:before="100" w:beforeAutospacing="1" w:after="100" w:afterAutospacing="1"/>
        <w:jc w:val="both"/>
        <w:rPr>
          <w:rFonts w:eastAsia="Times New Roman"/>
          <w:iCs/>
          <w:lang w:eastAsia="en-GB"/>
        </w:rPr>
      </w:pPr>
      <w:r w:rsidRPr="00CB756D">
        <w:rPr>
          <w:rFonts w:eastAsia="Times New Roman"/>
          <w:iCs/>
          <w:lang w:eastAsia="en-GB"/>
        </w:rPr>
        <w:t>Avoid conflicts of interest.</w:t>
      </w:r>
    </w:p>
    <w:p w14:paraId="26A658F2" w14:textId="77777777" w:rsidR="004E203D" w:rsidRPr="00CB756D" w:rsidRDefault="004E203D" w:rsidP="004E203D">
      <w:pPr>
        <w:numPr>
          <w:ilvl w:val="0"/>
          <w:numId w:val="9"/>
        </w:numPr>
        <w:spacing w:before="100" w:beforeAutospacing="1" w:after="100" w:afterAutospacing="1"/>
        <w:jc w:val="both"/>
        <w:rPr>
          <w:rFonts w:eastAsia="Times New Roman"/>
          <w:iCs/>
          <w:lang w:eastAsia="en-GB"/>
        </w:rPr>
      </w:pPr>
      <w:r w:rsidRPr="00CB756D">
        <w:rPr>
          <w:rFonts w:eastAsia="Times New Roman"/>
          <w:iCs/>
          <w:lang w:eastAsia="en-GB"/>
        </w:rPr>
        <w:t xml:space="preserve">Document decisions appropriately. </w:t>
      </w:r>
    </w:p>
    <w:p w14:paraId="56AEF037" w14:textId="77777777" w:rsidR="004E203D" w:rsidRPr="00CB756D" w:rsidRDefault="004E203D" w:rsidP="004E203D">
      <w:pPr>
        <w:spacing w:before="100" w:beforeAutospacing="1" w:after="100" w:afterAutospacing="1"/>
        <w:jc w:val="both"/>
        <w:rPr>
          <w:rFonts w:eastAsia="Times New Roman"/>
          <w:iCs/>
          <w:lang w:eastAsia="en-GB"/>
        </w:rPr>
      </w:pPr>
      <w:r w:rsidRPr="00CB756D">
        <w:rPr>
          <w:rFonts w:eastAsia="Times New Roman"/>
          <w:iCs/>
          <w:lang w:eastAsia="en-GB"/>
        </w:rPr>
        <w:t xml:space="preserve">For guidance on decision-making, refer to the Charity Commission’s publication “It's Your Decision: Charity Trustees and Decision Making” (CC27). </w:t>
      </w:r>
    </w:p>
    <w:p w14:paraId="10423F95" w14:textId="54119941" w:rsidR="004E203D" w:rsidRPr="00CB756D" w:rsidRDefault="004E203D" w:rsidP="00CB756D">
      <w:pPr>
        <w:pStyle w:val="ListParagraph"/>
        <w:numPr>
          <w:ilvl w:val="1"/>
          <w:numId w:val="15"/>
        </w:numPr>
        <w:spacing w:before="100" w:beforeAutospacing="1" w:after="100" w:afterAutospacing="1"/>
        <w:jc w:val="both"/>
        <w:outlineLvl w:val="2"/>
        <w:rPr>
          <w:rFonts w:ascii="Arial" w:eastAsia="Times New Roman" w:hAnsi="Arial" w:cs="Arial"/>
          <w:iCs/>
          <w:lang w:eastAsia="en-GB"/>
        </w:rPr>
      </w:pPr>
      <w:r w:rsidRPr="00CB756D">
        <w:rPr>
          <w:rFonts w:ascii="Arial" w:eastAsia="Times New Roman" w:hAnsi="Arial" w:cs="Arial"/>
          <w:iCs/>
          <w:lang w:eastAsia="en-GB"/>
        </w:rPr>
        <w:t>Conflicts of Interest</w:t>
      </w:r>
    </w:p>
    <w:p w14:paraId="588DE330" w14:textId="77777777" w:rsidR="004E203D" w:rsidRPr="00CB756D" w:rsidRDefault="004E203D" w:rsidP="004E203D">
      <w:pPr>
        <w:spacing w:before="100" w:beforeAutospacing="1" w:after="100" w:afterAutospacing="1"/>
        <w:jc w:val="both"/>
        <w:rPr>
          <w:rFonts w:eastAsia="Times New Roman"/>
          <w:iCs/>
          <w:lang w:eastAsia="en-GB"/>
        </w:rPr>
      </w:pPr>
      <w:r w:rsidRPr="00CB756D">
        <w:rPr>
          <w:rFonts w:eastAsia="Times New Roman"/>
          <w:iCs/>
          <w:lang w:eastAsia="en-GB"/>
        </w:rPr>
        <w:t xml:space="preserve">Trustees must: </w:t>
      </w:r>
    </w:p>
    <w:p w14:paraId="56517AC8" w14:textId="77777777" w:rsidR="004E203D" w:rsidRPr="00CB756D" w:rsidRDefault="004E203D" w:rsidP="004E203D">
      <w:pPr>
        <w:numPr>
          <w:ilvl w:val="0"/>
          <w:numId w:val="10"/>
        </w:numPr>
        <w:spacing w:before="100" w:beforeAutospacing="1" w:after="100" w:afterAutospacing="1"/>
        <w:jc w:val="both"/>
        <w:rPr>
          <w:rFonts w:eastAsia="Times New Roman"/>
          <w:iCs/>
          <w:lang w:eastAsia="en-GB"/>
        </w:rPr>
      </w:pPr>
      <w:r w:rsidRPr="00CB756D">
        <w:rPr>
          <w:rFonts w:eastAsia="Times New Roman"/>
          <w:iCs/>
          <w:lang w:eastAsia="en-GB"/>
        </w:rPr>
        <w:t>Declare any personal interests that may conflict with their duties.</w:t>
      </w:r>
    </w:p>
    <w:p w14:paraId="0EE03C67" w14:textId="77777777" w:rsidR="004E203D" w:rsidRPr="00CB756D" w:rsidRDefault="004E203D" w:rsidP="004E203D">
      <w:pPr>
        <w:numPr>
          <w:ilvl w:val="0"/>
          <w:numId w:val="10"/>
        </w:numPr>
        <w:spacing w:before="100" w:beforeAutospacing="1" w:after="100" w:afterAutospacing="1"/>
        <w:jc w:val="both"/>
        <w:rPr>
          <w:rFonts w:eastAsia="Times New Roman"/>
          <w:iCs/>
          <w:lang w:eastAsia="en-GB"/>
        </w:rPr>
      </w:pPr>
      <w:r w:rsidRPr="00CB756D">
        <w:rPr>
          <w:rFonts w:eastAsia="Times New Roman"/>
          <w:iCs/>
          <w:lang w:eastAsia="en-GB"/>
        </w:rPr>
        <w:t>Withdraw from discussions and decisions where a conflict exists.</w:t>
      </w:r>
    </w:p>
    <w:p w14:paraId="4B79E48E" w14:textId="77777777" w:rsidR="004E203D" w:rsidRPr="00CB756D" w:rsidRDefault="004E203D" w:rsidP="004E203D">
      <w:pPr>
        <w:numPr>
          <w:ilvl w:val="0"/>
          <w:numId w:val="10"/>
        </w:numPr>
        <w:spacing w:before="100" w:beforeAutospacing="1" w:after="100" w:afterAutospacing="1"/>
        <w:jc w:val="both"/>
        <w:rPr>
          <w:rFonts w:eastAsia="Times New Roman"/>
          <w:iCs/>
          <w:lang w:eastAsia="en-GB"/>
        </w:rPr>
      </w:pPr>
      <w:r w:rsidRPr="00CB756D">
        <w:rPr>
          <w:rFonts w:eastAsia="Times New Roman"/>
          <w:iCs/>
          <w:lang w:eastAsia="en-GB"/>
        </w:rPr>
        <w:lastRenderedPageBreak/>
        <w:t xml:space="preserve">Ensure conflicts are documented and managed in line with the charity’s policy. </w:t>
      </w:r>
    </w:p>
    <w:p w14:paraId="1E41EAB6" w14:textId="77777777" w:rsidR="004E203D" w:rsidRPr="00CB756D" w:rsidRDefault="004E203D" w:rsidP="004E203D">
      <w:pPr>
        <w:spacing w:before="100" w:beforeAutospacing="1" w:after="100" w:afterAutospacing="1"/>
        <w:jc w:val="both"/>
        <w:rPr>
          <w:rFonts w:eastAsia="Times New Roman"/>
          <w:iCs/>
          <w:lang w:eastAsia="en-GB"/>
        </w:rPr>
      </w:pPr>
      <w:r w:rsidRPr="00CB756D">
        <w:rPr>
          <w:rFonts w:eastAsia="Times New Roman"/>
          <w:iCs/>
          <w:lang w:eastAsia="en-GB"/>
        </w:rPr>
        <w:t xml:space="preserve">For detailed guidance, consult the Charity Commission’s “Conflicts of Interest: A Guide for Charity Trustees” (CC29). </w:t>
      </w:r>
    </w:p>
    <w:p w14:paraId="61D61AC3" w14:textId="7C2F2C87" w:rsidR="004E203D" w:rsidRPr="00CB756D" w:rsidRDefault="004E203D" w:rsidP="00CB756D">
      <w:pPr>
        <w:pStyle w:val="ListParagraph"/>
        <w:numPr>
          <w:ilvl w:val="1"/>
          <w:numId w:val="15"/>
        </w:numPr>
        <w:spacing w:before="100" w:beforeAutospacing="1" w:after="100" w:afterAutospacing="1"/>
        <w:jc w:val="both"/>
        <w:outlineLvl w:val="2"/>
        <w:rPr>
          <w:rFonts w:ascii="Arial" w:eastAsia="Times New Roman" w:hAnsi="Arial" w:cs="Arial"/>
          <w:iCs/>
          <w:lang w:eastAsia="en-GB"/>
        </w:rPr>
      </w:pPr>
      <w:r w:rsidRPr="00CB756D">
        <w:rPr>
          <w:rFonts w:ascii="Arial" w:eastAsia="Times New Roman" w:hAnsi="Arial" w:cs="Arial"/>
          <w:iCs/>
          <w:lang w:eastAsia="en-GB"/>
        </w:rPr>
        <w:t>Financial Oversight</w:t>
      </w:r>
    </w:p>
    <w:p w14:paraId="6DCD9217" w14:textId="77777777" w:rsidR="004E203D" w:rsidRPr="00CB756D" w:rsidRDefault="004E203D" w:rsidP="004E203D">
      <w:pPr>
        <w:spacing w:before="100" w:beforeAutospacing="1" w:after="100" w:afterAutospacing="1"/>
        <w:jc w:val="both"/>
        <w:rPr>
          <w:rFonts w:eastAsia="Times New Roman"/>
          <w:iCs/>
          <w:lang w:eastAsia="en-GB"/>
        </w:rPr>
      </w:pPr>
      <w:r w:rsidRPr="00CB756D">
        <w:rPr>
          <w:rFonts w:eastAsia="Times New Roman"/>
          <w:iCs/>
          <w:lang w:eastAsia="en-GB"/>
        </w:rPr>
        <w:t xml:space="preserve">Trustees are responsible for ensuring that the charity’s finances are managed prudently. This includes: </w:t>
      </w:r>
    </w:p>
    <w:p w14:paraId="026A61BD" w14:textId="77777777" w:rsidR="004E203D" w:rsidRPr="00CB756D" w:rsidRDefault="004E203D" w:rsidP="004E203D">
      <w:pPr>
        <w:numPr>
          <w:ilvl w:val="0"/>
          <w:numId w:val="11"/>
        </w:numPr>
        <w:spacing w:before="100" w:beforeAutospacing="1" w:after="100" w:afterAutospacing="1"/>
        <w:jc w:val="both"/>
        <w:rPr>
          <w:rFonts w:eastAsia="Times New Roman"/>
          <w:iCs/>
          <w:lang w:eastAsia="en-GB"/>
        </w:rPr>
      </w:pPr>
      <w:r w:rsidRPr="00CB756D">
        <w:rPr>
          <w:rFonts w:eastAsia="Times New Roman"/>
          <w:iCs/>
          <w:lang w:eastAsia="en-GB"/>
        </w:rPr>
        <w:t>Approving the annual budget.</w:t>
      </w:r>
    </w:p>
    <w:p w14:paraId="463439FF" w14:textId="77777777" w:rsidR="004E203D" w:rsidRPr="00CB756D" w:rsidRDefault="004E203D" w:rsidP="004E203D">
      <w:pPr>
        <w:numPr>
          <w:ilvl w:val="0"/>
          <w:numId w:val="11"/>
        </w:numPr>
        <w:spacing w:before="100" w:beforeAutospacing="1" w:after="100" w:afterAutospacing="1"/>
        <w:jc w:val="both"/>
        <w:rPr>
          <w:rFonts w:eastAsia="Times New Roman"/>
          <w:iCs/>
          <w:lang w:eastAsia="en-GB"/>
        </w:rPr>
      </w:pPr>
      <w:r w:rsidRPr="00CB756D">
        <w:rPr>
          <w:rFonts w:eastAsia="Times New Roman"/>
          <w:iCs/>
          <w:lang w:eastAsia="en-GB"/>
        </w:rPr>
        <w:t>Monitoring financial performance.</w:t>
      </w:r>
    </w:p>
    <w:p w14:paraId="5CA1B72A" w14:textId="77777777" w:rsidR="004E203D" w:rsidRPr="00CB756D" w:rsidRDefault="004E203D" w:rsidP="004E203D">
      <w:pPr>
        <w:numPr>
          <w:ilvl w:val="0"/>
          <w:numId w:val="11"/>
        </w:numPr>
        <w:spacing w:before="100" w:beforeAutospacing="1" w:after="100" w:afterAutospacing="1"/>
        <w:jc w:val="both"/>
        <w:rPr>
          <w:rFonts w:eastAsia="Times New Roman"/>
          <w:iCs/>
          <w:lang w:eastAsia="en-GB"/>
        </w:rPr>
      </w:pPr>
      <w:r w:rsidRPr="00CB756D">
        <w:rPr>
          <w:rFonts w:eastAsia="Times New Roman"/>
          <w:iCs/>
          <w:lang w:eastAsia="en-GB"/>
        </w:rPr>
        <w:t>Ensuring compliance with financial regulations.</w:t>
      </w:r>
    </w:p>
    <w:p w14:paraId="42FCBAB2" w14:textId="77777777" w:rsidR="004E203D" w:rsidRPr="00CB756D" w:rsidRDefault="004E203D" w:rsidP="004E203D">
      <w:pPr>
        <w:spacing w:before="100" w:beforeAutospacing="1" w:after="100" w:afterAutospacing="1"/>
        <w:jc w:val="both"/>
        <w:rPr>
          <w:rFonts w:eastAsia="Times New Roman"/>
          <w:iCs/>
          <w:lang w:eastAsia="en-GB"/>
        </w:rPr>
      </w:pPr>
      <w:r w:rsidRPr="00CB756D">
        <w:rPr>
          <w:rFonts w:eastAsia="Times New Roman"/>
          <w:iCs/>
          <w:lang w:eastAsia="en-GB"/>
        </w:rPr>
        <w:t xml:space="preserve">Refer to the Charity Commission’s “Charities and Investment Matters: A Guide for Trustees” (CC14) for more information. </w:t>
      </w:r>
    </w:p>
    <w:p w14:paraId="749322D7" w14:textId="0EDAA8F2" w:rsidR="004E203D" w:rsidRPr="00CB756D" w:rsidRDefault="004E203D" w:rsidP="00CB756D">
      <w:pPr>
        <w:pStyle w:val="ListParagraph"/>
        <w:numPr>
          <w:ilvl w:val="1"/>
          <w:numId w:val="15"/>
        </w:numPr>
        <w:spacing w:before="100" w:beforeAutospacing="1" w:after="100" w:afterAutospacing="1"/>
        <w:jc w:val="both"/>
        <w:outlineLvl w:val="2"/>
        <w:rPr>
          <w:rFonts w:ascii="Arial" w:eastAsia="Times New Roman" w:hAnsi="Arial" w:cs="Arial"/>
          <w:iCs/>
          <w:lang w:eastAsia="en-GB"/>
        </w:rPr>
      </w:pPr>
      <w:r w:rsidRPr="00CB756D">
        <w:rPr>
          <w:rFonts w:ascii="Arial" w:eastAsia="Times New Roman" w:hAnsi="Arial" w:cs="Arial"/>
          <w:iCs/>
          <w:lang w:eastAsia="en-GB"/>
        </w:rPr>
        <w:t>Reporting and Accountability</w:t>
      </w:r>
    </w:p>
    <w:p w14:paraId="4BAC8CB0" w14:textId="77777777" w:rsidR="004E203D" w:rsidRPr="00CB756D" w:rsidRDefault="004E203D" w:rsidP="004E203D">
      <w:pPr>
        <w:spacing w:before="100" w:beforeAutospacing="1" w:after="100" w:afterAutospacing="1"/>
        <w:jc w:val="both"/>
        <w:rPr>
          <w:rFonts w:eastAsia="Times New Roman"/>
          <w:iCs/>
          <w:lang w:eastAsia="en-GB"/>
        </w:rPr>
      </w:pPr>
      <w:r w:rsidRPr="00CB756D">
        <w:rPr>
          <w:rFonts w:eastAsia="Times New Roman"/>
          <w:iCs/>
          <w:lang w:eastAsia="en-GB"/>
        </w:rPr>
        <w:t>Trustees must ensure that the charity complies with legal reporting requirements, including:</w:t>
      </w:r>
    </w:p>
    <w:p w14:paraId="359E1C12" w14:textId="77777777" w:rsidR="004E203D" w:rsidRPr="00CB756D" w:rsidRDefault="004E203D" w:rsidP="004E203D">
      <w:pPr>
        <w:numPr>
          <w:ilvl w:val="0"/>
          <w:numId w:val="12"/>
        </w:numPr>
        <w:spacing w:before="100" w:beforeAutospacing="1" w:after="100" w:afterAutospacing="1"/>
        <w:jc w:val="both"/>
        <w:rPr>
          <w:rFonts w:eastAsia="Times New Roman"/>
          <w:iCs/>
          <w:lang w:eastAsia="en-GB"/>
        </w:rPr>
      </w:pPr>
      <w:r w:rsidRPr="00CB756D">
        <w:rPr>
          <w:rFonts w:eastAsia="Times New Roman"/>
          <w:iCs/>
          <w:lang w:eastAsia="en-GB"/>
        </w:rPr>
        <w:t>Submitting annual returns to the Charity Commission.</w:t>
      </w:r>
    </w:p>
    <w:p w14:paraId="0DA7BA1B" w14:textId="77777777" w:rsidR="004E203D" w:rsidRPr="00CB756D" w:rsidRDefault="004E203D" w:rsidP="004E203D">
      <w:pPr>
        <w:numPr>
          <w:ilvl w:val="0"/>
          <w:numId w:val="12"/>
        </w:numPr>
        <w:spacing w:before="100" w:beforeAutospacing="1" w:after="100" w:afterAutospacing="1"/>
        <w:jc w:val="both"/>
        <w:rPr>
          <w:rFonts w:eastAsia="Times New Roman"/>
          <w:iCs/>
          <w:lang w:eastAsia="en-GB"/>
        </w:rPr>
      </w:pPr>
      <w:r w:rsidRPr="00CB756D">
        <w:rPr>
          <w:rFonts w:eastAsia="Times New Roman"/>
          <w:iCs/>
          <w:lang w:eastAsia="en-GB"/>
        </w:rPr>
        <w:t>Maintaining accurate and up-to-date records.</w:t>
      </w:r>
    </w:p>
    <w:p w14:paraId="769B4FEF" w14:textId="77777777" w:rsidR="004E203D" w:rsidRPr="00CB756D" w:rsidRDefault="004E203D" w:rsidP="004E203D">
      <w:pPr>
        <w:numPr>
          <w:ilvl w:val="0"/>
          <w:numId w:val="12"/>
        </w:numPr>
        <w:spacing w:before="100" w:beforeAutospacing="1" w:after="100" w:afterAutospacing="1"/>
        <w:jc w:val="both"/>
        <w:rPr>
          <w:rFonts w:eastAsia="Times New Roman"/>
          <w:iCs/>
          <w:lang w:eastAsia="en-GB"/>
        </w:rPr>
      </w:pPr>
      <w:r w:rsidRPr="00CB756D">
        <w:rPr>
          <w:rFonts w:eastAsia="Times New Roman"/>
          <w:iCs/>
          <w:lang w:eastAsia="en-GB"/>
        </w:rPr>
        <w:t>Being transparent and accountable to stakeholders.</w:t>
      </w:r>
    </w:p>
    <w:p w14:paraId="3F567185" w14:textId="77777777" w:rsidR="004E203D" w:rsidRPr="00CB756D" w:rsidRDefault="004E203D" w:rsidP="004E203D">
      <w:pPr>
        <w:spacing w:before="100" w:beforeAutospacing="1" w:after="100" w:afterAutospacing="1"/>
        <w:jc w:val="both"/>
        <w:rPr>
          <w:rFonts w:eastAsia="Times New Roman"/>
          <w:iCs/>
          <w:lang w:eastAsia="en-GB"/>
        </w:rPr>
      </w:pPr>
      <w:r w:rsidRPr="00CB756D">
        <w:rPr>
          <w:rFonts w:eastAsia="Times New Roman"/>
          <w:iCs/>
          <w:lang w:eastAsia="en-GB"/>
        </w:rPr>
        <w:t>For guidance on reporting, see the Charity Commission’s “Charity Trustee: What’s Involved” (CC3a)</w:t>
      </w:r>
    </w:p>
    <w:p w14:paraId="15ED779F" w14:textId="77777777" w:rsidR="00CB756D" w:rsidRDefault="005C08E7" w:rsidP="005C08E7">
      <w:pPr>
        <w:pStyle w:val="Default"/>
        <w:numPr>
          <w:ilvl w:val="0"/>
          <w:numId w:val="15"/>
        </w:numPr>
        <w:rPr>
          <w:b/>
          <w:bCs/>
          <w:iCs/>
          <w:sz w:val="22"/>
          <w:szCs w:val="22"/>
        </w:rPr>
      </w:pPr>
      <w:r w:rsidRPr="00CB756D">
        <w:rPr>
          <w:b/>
          <w:bCs/>
          <w:iCs/>
          <w:sz w:val="22"/>
          <w:szCs w:val="22"/>
        </w:rPr>
        <w:t xml:space="preserve">MONITORING COMPLIANCE AND EFFECTIVENESS </w:t>
      </w:r>
    </w:p>
    <w:p w14:paraId="10B06075" w14:textId="77777777" w:rsidR="00CB756D" w:rsidRDefault="00CB756D" w:rsidP="00CB756D">
      <w:pPr>
        <w:pStyle w:val="Default"/>
        <w:rPr>
          <w:b/>
          <w:bCs/>
          <w:iCs/>
          <w:sz w:val="22"/>
          <w:szCs w:val="22"/>
        </w:rPr>
      </w:pPr>
    </w:p>
    <w:p w14:paraId="4623A5A2" w14:textId="3E292688" w:rsidR="00A03097" w:rsidRPr="00A67E9F" w:rsidRDefault="00A03097" w:rsidP="00A03097">
      <w:pPr>
        <w:pStyle w:val="Default"/>
        <w:numPr>
          <w:ilvl w:val="1"/>
          <w:numId w:val="15"/>
        </w:numPr>
        <w:rPr>
          <w:sz w:val="22"/>
          <w:szCs w:val="22"/>
        </w:rPr>
      </w:pPr>
      <w:r>
        <w:rPr>
          <w:sz w:val="22"/>
          <w:szCs w:val="22"/>
        </w:rPr>
        <w:t>The policy is to be reviewed every 5 years</w:t>
      </w:r>
      <w:r>
        <w:rPr>
          <w:sz w:val="22"/>
          <w:szCs w:val="22"/>
        </w:rPr>
        <w:t xml:space="preserve"> by the SLT</w:t>
      </w:r>
    </w:p>
    <w:p w14:paraId="63A739B7" w14:textId="77777777" w:rsidR="00CB756D" w:rsidRDefault="00CB756D" w:rsidP="00A03097">
      <w:pPr>
        <w:pStyle w:val="Default"/>
        <w:rPr>
          <w:b/>
          <w:bCs/>
          <w:iCs/>
          <w:sz w:val="22"/>
          <w:szCs w:val="22"/>
        </w:rPr>
      </w:pPr>
    </w:p>
    <w:p w14:paraId="6F45654C" w14:textId="77777777" w:rsidR="00CB756D" w:rsidRDefault="00CB756D" w:rsidP="00CB756D">
      <w:pPr>
        <w:pStyle w:val="Default"/>
        <w:ind w:left="360"/>
        <w:rPr>
          <w:b/>
          <w:bCs/>
          <w:iCs/>
          <w:sz w:val="22"/>
          <w:szCs w:val="22"/>
        </w:rPr>
      </w:pPr>
    </w:p>
    <w:p w14:paraId="0492A34B" w14:textId="12B3C732" w:rsidR="005C08E7" w:rsidRPr="00CB756D" w:rsidRDefault="005C08E7" w:rsidP="005C08E7">
      <w:pPr>
        <w:pStyle w:val="Default"/>
        <w:numPr>
          <w:ilvl w:val="0"/>
          <w:numId w:val="15"/>
        </w:numPr>
        <w:rPr>
          <w:b/>
          <w:bCs/>
          <w:iCs/>
          <w:sz w:val="22"/>
          <w:szCs w:val="22"/>
        </w:rPr>
      </w:pPr>
      <w:r w:rsidRPr="00CB756D">
        <w:rPr>
          <w:b/>
          <w:bCs/>
          <w:iCs/>
          <w:color w:val="auto"/>
          <w:sz w:val="22"/>
          <w:szCs w:val="22"/>
        </w:rPr>
        <w:t xml:space="preserve">TRAINING AND COMPETENCY REQUIREMENTS </w:t>
      </w:r>
    </w:p>
    <w:p w14:paraId="5AFB7F63" w14:textId="77777777" w:rsidR="00CB756D" w:rsidRPr="00CB756D" w:rsidRDefault="00CB756D" w:rsidP="00CB756D">
      <w:pPr>
        <w:pStyle w:val="Default"/>
        <w:ind w:left="360"/>
        <w:rPr>
          <w:b/>
          <w:bCs/>
          <w:iCs/>
          <w:sz w:val="22"/>
          <w:szCs w:val="22"/>
        </w:rPr>
      </w:pPr>
    </w:p>
    <w:p w14:paraId="17E5235B" w14:textId="75211E78" w:rsidR="005C08E7" w:rsidRPr="00CB756D" w:rsidRDefault="00CB756D" w:rsidP="00CB756D">
      <w:pPr>
        <w:pStyle w:val="Default"/>
        <w:ind w:firstLine="360"/>
        <w:rPr>
          <w:iCs/>
          <w:color w:val="auto"/>
          <w:sz w:val="22"/>
          <w:szCs w:val="22"/>
        </w:rPr>
      </w:pPr>
      <w:r>
        <w:rPr>
          <w:iCs/>
          <w:color w:val="auto"/>
          <w:sz w:val="22"/>
          <w:szCs w:val="22"/>
        </w:rPr>
        <w:t>N/</w:t>
      </w:r>
      <w:r w:rsidR="004E203D" w:rsidRPr="00CB756D">
        <w:rPr>
          <w:iCs/>
          <w:color w:val="auto"/>
          <w:sz w:val="22"/>
          <w:szCs w:val="22"/>
        </w:rPr>
        <w:t>A</w:t>
      </w:r>
    </w:p>
    <w:p w14:paraId="50895670" w14:textId="77777777" w:rsidR="005C08E7" w:rsidRPr="00CB756D" w:rsidRDefault="005C08E7" w:rsidP="005C08E7">
      <w:pPr>
        <w:pStyle w:val="Default"/>
        <w:rPr>
          <w:iCs/>
          <w:color w:val="auto"/>
          <w:sz w:val="22"/>
          <w:szCs w:val="22"/>
        </w:rPr>
      </w:pPr>
    </w:p>
    <w:p w14:paraId="5A4F02CA" w14:textId="60C7C129" w:rsidR="005C08E7" w:rsidRPr="00CB756D" w:rsidRDefault="005C08E7" w:rsidP="00CB756D">
      <w:pPr>
        <w:pStyle w:val="Default"/>
        <w:numPr>
          <w:ilvl w:val="0"/>
          <w:numId w:val="15"/>
        </w:numPr>
        <w:rPr>
          <w:b/>
          <w:bCs/>
          <w:iCs/>
          <w:color w:val="auto"/>
          <w:sz w:val="22"/>
          <w:szCs w:val="22"/>
        </w:rPr>
      </w:pPr>
      <w:r w:rsidRPr="00CB756D">
        <w:rPr>
          <w:b/>
          <w:bCs/>
          <w:iCs/>
          <w:color w:val="auto"/>
          <w:sz w:val="22"/>
          <w:szCs w:val="22"/>
        </w:rPr>
        <w:t xml:space="preserve">ASSOCIATED DOCUMENTS </w:t>
      </w:r>
    </w:p>
    <w:p w14:paraId="38C1F859" w14:textId="77777777" w:rsidR="005C08E7" w:rsidRPr="00CB756D" w:rsidRDefault="005C08E7" w:rsidP="005C08E7">
      <w:pPr>
        <w:pStyle w:val="Default"/>
        <w:rPr>
          <w:b/>
          <w:bCs/>
          <w:iCs/>
          <w:color w:val="auto"/>
          <w:sz w:val="22"/>
          <w:szCs w:val="22"/>
        </w:rPr>
      </w:pPr>
    </w:p>
    <w:p w14:paraId="40962C74" w14:textId="3798EBEE" w:rsidR="005C08E7" w:rsidRPr="00CB756D" w:rsidRDefault="004E203D" w:rsidP="00CB756D">
      <w:pPr>
        <w:pStyle w:val="Default"/>
        <w:ind w:firstLine="360"/>
        <w:rPr>
          <w:iCs/>
          <w:color w:val="auto"/>
          <w:sz w:val="22"/>
          <w:szCs w:val="22"/>
        </w:rPr>
      </w:pPr>
      <w:r w:rsidRPr="00CB756D">
        <w:rPr>
          <w:iCs/>
          <w:color w:val="auto"/>
          <w:sz w:val="22"/>
          <w:szCs w:val="22"/>
        </w:rPr>
        <w:t>NA</w:t>
      </w:r>
    </w:p>
    <w:p w14:paraId="0C8FE7CE" w14:textId="77777777" w:rsidR="005C08E7" w:rsidRPr="00CB756D" w:rsidRDefault="005C08E7" w:rsidP="005C08E7">
      <w:pPr>
        <w:pStyle w:val="Default"/>
        <w:rPr>
          <w:iCs/>
          <w:color w:val="auto"/>
          <w:sz w:val="22"/>
          <w:szCs w:val="22"/>
        </w:rPr>
      </w:pPr>
    </w:p>
    <w:p w14:paraId="412F0DB2" w14:textId="77777777" w:rsidR="00CB756D" w:rsidRPr="00CB756D" w:rsidRDefault="005C08E7" w:rsidP="00710B92">
      <w:pPr>
        <w:pStyle w:val="Default"/>
        <w:numPr>
          <w:ilvl w:val="0"/>
          <w:numId w:val="15"/>
        </w:numPr>
        <w:rPr>
          <w:b/>
          <w:bCs/>
          <w:iCs/>
          <w:color w:val="auto"/>
          <w:sz w:val="22"/>
          <w:szCs w:val="22"/>
        </w:rPr>
      </w:pPr>
      <w:r w:rsidRPr="00CB756D">
        <w:rPr>
          <w:b/>
          <w:bCs/>
          <w:iCs/>
          <w:color w:val="auto"/>
          <w:sz w:val="22"/>
          <w:szCs w:val="22"/>
        </w:rPr>
        <w:t xml:space="preserve">APPENDICES </w:t>
      </w:r>
    </w:p>
    <w:p w14:paraId="2E717DC8" w14:textId="77777777" w:rsidR="00CB756D" w:rsidRDefault="00CB756D" w:rsidP="00CB756D">
      <w:pPr>
        <w:pStyle w:val="Default"/>
        <w:rPr>
          <w:iCs/>
          <w:color w:val="auto"/>
          <w:sz w:val="22"/>
          <w:szCs w:val="22"/>
        </w:rPr>
      </w:pPr>
    </w:p>
    <w:p w14:paraId="7AC4FF12" w14:textId="08DA0153" w:rsidR="008A1BD8" w:rsidRPr="00CB756D" w:rsidRDefault="00CB756D" w:rsidP="00CB756D">
      <w:pPr>
        <w:pStyle w:val="Default"/>
        <w:ind w:firstLine="360"/>
        <w:rPr>
          <w:iCs/>
          <w:color w:val="auto"/>
          <w:sz w:val="22"/>
          <w:szCs w:val="22"/>
        </w:rPr>
      </w:pPr>
      <w:r w:rsidRPr="00CB756D">
        <w:rPr>
          <w:iCs/>
          <w:color w:val="auto"/>
          <w:sz w:val="22"/>
          <w:szCs w:val="22"/>
        </w:rPr>
        <w:t>N/A</w:t>
      </w:r>
    </w:p>
    <w:sectPr w:rsidR="008A1BD8" w:rsidRPr="00CB756D" w:rsidSect="00234A9F">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0C651" w14:textId="77777777" w:rsidR="00AC0A29" w:rsidRDefault="00AC0A29" w:rsidP="00A35CE6">
      <w:r>
        <w:separator/>
      </w:r>
    </w:p>
  </w:endnote>
  <w:endnote w:type="continuationSeparator" w:id="0">
    <w:p w14:paraId="308D56CC" w14:textId="77777777" w:rsidR="00AC0A29" w:rsidRDefault="00AC0A29" w:rsidP="00A3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698B" w14:textId="77777777" w:rsidR="009B5D9F" w:rsidRDefault="009B5D9F">
    <w:pPr>
      <w:pStyle w:val="Footer"/>
    </w:pPr>
  </w:p>
  <w:p w14:paraId="5236200A" w14:textId="77777777" w:rsidR="00A35CE6" w:rsidRDefault="00090097">
    <w:pPr>
      <w:pStyle w:val="Footer"/>
    </w:pPr>
    <w:r>
      <w:rPr>
        <w:noProof/>
      </w:rPr>
      <w:fldChar w:fldCharType="begin"/>
    </w:r>
    <w:r>
      <w:rPr>
        <w:noProof/>
      </w:rPr>
      <w:instrText xml:space="preserve"> FILENAME \* MERGEFORMAT </w:instrText>
    </w:r>
    <w:r>
      <w:rPr>
        <w:noProof/>
      </w:rPr>
      <w:fldChar w:fldCharType="separate"/>
    </w:r>
    <w:r w:rsidR="00FF1E33">
      <w:rPr>
        <w:noProof/>
      </w:rPr>
      <w:t>Template for Policies.docx</w:t>
    </w:r>
    <w:r>
      <w:rPr>
        <w:noProof/>
      </w:rPr>
      <w:fldChar w:fldCharType="end"/>
    </w:r>
    <w:r w:rsidR="00A35CE6">
      <w:ptab w:relativeTo="margin" w:alignment="center" w:leader="none"/>
    </w:r>
    <w:r w:rsidR="00A35CE6">
      <w:ptab w:relativeTo="margin" w:alignment="right" w:leader="none"/>
    </w:r>
    <w:sdt>
      <w:sdtPr>
        <w:id w:val="-1705238520"/>
        <w:docPartObj>
          <w:docPartGallery w:val="Page Numbers (Top of Page)"/>
          <w:docPartUnique/>
        </w:docPartObj>
      </w:sdtPr>
      <w:sdtEndPr/>
      <w:sdtContent>
        <w:r w:rsidR="00A35CE6">
          <w:t xml:space="preserve">Page </w:t>
        </w:r>
        <w:r w:rsidR="00A35CE6">
          <w:rPr>
            <w:b/>
            <w:bCs/>
            <w:sz w:val="24"/>
            <w:szCs w:val="24"/>
          </w:rPr>
          <w:fldChar w:fldCharType="begin"/>
        </w:r>
        <w:r w:rsidR="00A35CE6">
          <w:rPr>
            <w:b/>
            <w:bCs/>
          </w:rPr>
          <w:instrText xml:space="preserve"> PAGE </w:instrText>
        </w:r>
        <w:r w:rsidR="00A35CE6">
          <w:rPr>
            <w:b/>
            <w:bCs/>
            <w:sz w:val="24"/>
            <w:szCs w:val="24"/>
          </w:rPr>
          <w:fldChar w:fldCharType="separate"/>
        </w:r>
        <w:r w:rsidR="00520E59">
          <w:rPr>
            <w:b/>
            <w:bCs/>
            <w:noProof/>
          </w:rPr>
          <w:t>4</w:t>
        </w:r>
        <w:r w:rsidR="00A35CE6">
          <w:rPr>
            <w:b/>
            <w:bCs/>
            <w:sz w:val="24"/>
            <w:szCs w:val="24"/>
          </w:rPr>
          <w:fldChar w:fldCharType="end"/>
        </w:r>
        <w:r w:rsidR="00A35CE6">
          <w:t xml:space="preserve"> of </w:t>
        </w:r>
        <w:r w:rsidR="00A35CE6">
          <w:rPr>
            <w:b/>
            <w:bCs/>
            <w:sz w:val="24"/>
            <w:szCs w:val="24"/>
          </w:rPr>
          <w:fldChar w:fldCharType="begin"/>
        </w:r>
        <w:r w:rsidR="00A35CE6">
          <w:rPr>
            <w:b/>
            <w:bCs/>
          </w:rPr>
          <w:instrText xml:space="preserve"> NUMPAGES  </w:instrText>
        </w:r>
        <w:r w:rsidR="00A35CE6">
          <w:rPr>
            <w:b/>
            <w:bCs/>
            <w:sz w:val="24"/>
            <w:szCs w:val="24"/>
          </w:rPr>
          <w:fldChar w:fldCharType="separate"/>
        </w:r>
        <w:r w:rsidR="00520E59">
          <w:rPr>
            <w:b/>
            <w:bCs/>
            <w:noProof/>
          </w:rPr>
          <w:t>4</w:t>
        </w:r>
        <w:r w:rsidR="00A35CE6">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E50C6" w14:textId="77777777" w:rsidR="00AC0A29" w:rsidRDefault="00AC0A29" w:rsidP="00A35CE6">
      <w:r>
        <w:separator/>
      </w:r>
    </w:p>
  </w:footnote>
  <w:footnote w:type="continuationSeparator" w:id="0">
    <w:p w14:paraId="7B04FA47" w14:textId="77777777" w:rsidR="00AC0A29" w:rsidRDefault="00AC0A29" w:rsidP="00A35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7B1"/>
    <w:multiLevelType w:val="multilevel"/>
    <w:tmpl w:val="6B06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C568D"/>
    <w:multiLevelType w:val="multilevel"/>
    <w:tmpl w:val="405C778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152C9F"/>
    <w:multiLevelType w:val="hybridMultilevel"/>
    <w:tmpl w:val="FD66FF3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 w15:restartNumberingAfterBreak="0">
    <w:nsid w:val="3AA21893"/>
    <w:multiLevelType w:val="hybridMultilevel"/>
    <w:tmpl w:val="E72AF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023412"/>
    <w:multiLevelType w:val="multilevel"/>
    <w:tmpl w:val="EDE86E1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0DF4208"/>
    <w:multiLevelType w:val="multilevel"/>
    <w:tmpl w:val="837C917E"/>
    <w:lvl w:ilvl="0">
      <w:start w:val="2"/>
      <w:numFmt w:val="decimal"/>
      <w:lvlText w:val="%1."/>
      <w:lvlJc w:val="left"/>
      <w:pPr>
        <w:ind w:left="360" w:hanging="360"/>
      </w:pPr>
      <w:rPr>
        <w:rFonts w:hint="default"/>
        <w:i w:val="0"/>
        <w:iCs w:val="0"/>
        <w:u w:val="none"/>
      </w:rPr>
    </w:lvl>
    <w:lvl w:ilvl="1">
      <w:start w:val="1"/>
      <w:numFmt w:val="decimal"/>
      <w:lvlText w:val="%1.%2."/>
      <w:lvlJc w:val="left"/>
      <w:pPr>
        <w:ind w:left="720" w:hanging="720"/>
      </w:pPr>
      <w:rPr>
        <w:rFonts w:hint="default"/>
        <w:i w:val="0"/>
        <w:iCs w:val="0"/>
        <w:u w:val="none"/>
      </w:rPr>
    </w:lvl>
    <w:lvl w:ilvl="2">
      <w:start w:val="1"/>
      <w:numFmt w:val="decimal"/>
      <w:lvlText w:val="%1.%2.%3."/>
      <w:lvlJc w:val="left"/>
      <w:pPr>
        <w:ind w:left="720" w:hanging="720"/>
      </w:pPr>
      <w:rPr>
        <w:rFonts w:hint="default"/>
        <w:i/>
        <w:u w:val="single"/>
      </w:rPr>
    </w:lvl>
    <w:lvl w:ilvl="3">
      <w:start w:val="1"/>
      <w:numFmt w:val="decimal"/>
      <w:lvlText w:val="%1.%2.%3.%4."/>
      <w:lvlJc w:val="left"/>
      <w:pPr>
        <w:ind w:left="1080" w:hanging="1080"/>
      </w:pPr>
      <w:rPr>
        <w:rFonts w:hint="default"/>
        <w:i/>
        <w:u w:val="single"/>
      </w:rPr>
    </w:lvl>
    <w:lvl w:ilvl="4">
      <w:start w:val="1"/>
      <w:numFmt w:val="decimal"/>
      <w:lvlText w:val="%1.%2.%3.%4.%5."/>
      <w:lvlJc w:val="left"/>
      <w:pPr>
        <w:ind w:left="1080" w:hanging="1080"/>
      </w:pPr>
      <w:rPr>
        <w:rFonts w:hint="default"/>
        <w:i/>
        <w:u w:val="single"/>
      </w:rPr>
    </w:lvl>
    <w:lvl w:ilvl="5">
      <w:start w:val="1"/>
      <w:numFmt w:val="decimal"/>
      <w:lvlText w:val="%1.%2.%3.%4.%5.%6."/>
      <w:lvlJc w:val="left"/>
      <w:pPr>
        <w:ind w:left="1440" w:hanging="1440"/>
      </w:pPr>
      <w:rPr>
        <w:rFonts w:hint="default"/>
        <w:i/>
        <w:u w:val="single"/>
      </w:rPr>
    </w:lvl>
    <w:lvl w:ilvl="6">
      <w:start w:val="1"/>
      <w:numFmt w:val="decimal"/>
      <w:lvlText w:val="%1.%2.%3.%4.%5.%6.%7."/>
      <w:lvlJc w:val="left"/>
      <w:pPr>
        <w:ind w:left="1440" w:hanging="1440"/>
      </w:pPr>
      <w:rPr>
        <w:rFonts w:hint="default"/>
        <w:i/>
        <w:u w:val="single"/>
      </w:rPr>
    </w:lvl>
    <w:lvl w:ilvl="7">
      <w:start w:val="1"/>
      <w:numFmt w:val="decimal"/>
      <w:lvlText w:val="%1.%2.%3.%4.%5.%6.%7.%8."/>
      <w:lvlJc w:val="left"/>
      <w:pPr>
        <w:ind w:left="1800" w:hanging="1800"/>
      </w:pPr>
      <w:rPr>
        <w:rFonts w:hint="default"/>
        <w:i/>
        <w:u w:val="single"/>
      </w:rPr>
    </w:lvl>
    <w:lvl w:ilvl="8">
      <w:start w:val="1"/>
      <w:numFmt w:val="decimal"/>
      <w:lvlText w:val="%1.%2.%3.%4.%5.%6.%7.%8.%9."/>
      <w:lvlJc w:val="left"/>
      <w:pPr>
        <w:ind w:left="1800" w:hanging="1800"/>
      </w:pPr>
      <w:rPr>
        <w:rFonts w:hint="default"/>
        <w:i/>
        <w:u w:val="single"/>
      </w:rPr>
    </w:lvl>
  </w:abstractNum>
  <w:abstractNum w:abstractNumId="6" w15:restartNumberingAfterBreak="0">
    <w:nsid w:val="53B91769"/>
    <w:multiLevelType w:val="multilevel"/>
    <w:tmpl w:val="6B06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AB6356"/>
    <w:multiLevelType w:val="multilevel"/>
    <w:tmpl w:val="5D2005EC"/>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15:restartNumberingAfterBreak="0">
    <w:nsid w:val="5BAC1A0D"/>
    <w:multiLevelType w:val="multilevel"/>
    <w:tmpl w:val="6B06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7C02F7"/>
    <w:multiLevelType w:val="multilevel"/>
    <w:tmpl w:val="6B06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E65169"/>
    <w:multiLevelType w:val="hybridMultilevel"/>
    <w:tmpl w:val="BDAC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7C5E60"/>
    <w:multiLevelType w:val="multilevel"/>
    <w:tmpl w:val="6B06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7D71B6"/>
    <w:multiLevelType w:val="multilevel"/>
    <w:tmpl w:val="4EC68928"/>
    <w:lvl w:ilvl="0">
      <w:start w:val="6"/>
      <w:numFmt w:val="decimal"/>
      <w:lvlText w:val="%1."/>
      <w:lvlJc w:val="left"/>
      <w:pPr>
        <w:ind w:left="360" w:hanging="360"/>
      </w:pPr>
      <w:rPr>
        <w:rFonts w:hint="default"/>
        <w:b/>
        <w:color w:val="000000"/>
        <w:sz w:val="23"/>
      </w:rPr>
    </w:lvl>
    <w:lvl w:ilvl="1">
      <w:start w:val="1"/>
      <w:numFmt w:val="decimal"/>
      <w:lvlText w:val="%1.%2."/>
      <w:lvlJc w:val="left"/>
      <w:pPr>
        <w:ind w:left="720" w:hanging="720"/>
      </w:pPr>
      <w:rPr>
        <w:rFonts w:hint="default"/>
        <w:b/>
        <w:color w:val="000000"/>
        <w:sz w:val="23"/>
      </w:rPr>
    </w:lvl>
    <w:lvl w:ilvl="2">
      <w:start w:val="1"/>
      <w:numFmt w:val="decimal"/>
      <w:lvlText w:val="%1.%2.%3."/>
      <w:lvlJc w:val="left"/>
      <w:pPr>
        <w:ind w:left="720" w:hanging="720"/>
      </w:pPr>
      <w:rPr>
        <w:rFonts w:hint="default"/>
        <w:b/>
        <w:color w:val="000000"/>
        <w:sz w:val="23"/>
      </w:rPr>
    </w:lvl>
    <w:lvl w:ilvl="3">
      <w:start w:val="1"/>
      <w:numFmt w:val="decimal"/>
      <w:lvlText w:val="%1.%2.%3.%4."/>
      <w:lvlJc w:val="left"/>
      <w:pPr>
        <w:ind w:left="1080" w:hanging="1080"/>
      </w:pPr>
      <w:rPr>
        <w:rFonts w:hint="default"/>
        <w:b/>
        <w:color w:val="000000"/>
        <w:sz w:val="23"/>
      </w:rPr>
    </w:lvl>
    <w:lvl w:ilvl="4">
      <w:start w:val="1"/>
      <w:numFmt w:val="decimal"/>
      <w:lvlText w:val="%1.%2.%3.%4.%5."/>
      <w:lvlJc w:val="left"/>
      <w:pPr>
        <w:ind w:left="1080" w:hanging="1080"/>
      </w:pPr>
      <w:rPr>
        <w:rFonts w:hint="default"/>
        <w:b/>
        <w:color w:val="000000"/>
        <w:sz w:val="23"/>
      </w:rPr>
    </w:lvl>
    <w:lvl w:ilvl="5">
      <w:start w:val="1"/>
      <w:numFmt w:val="decimal"/>
      <w:lvlText w:val="%1.%2.%3.%4.%5.%6."/>
      <w:lvlJc w:val="left"/>
      <w:pPr>
        <w:ind w:left="1440" w:hanging="1440"/>
      </w:pPr>
      <w:rPr>
        <w:rFonts w:hint="default"/>
        <w:b/>
        <w:color w:val="000000"/>
        <w:sz w:val="23"/>
      </w:rPr>
    </w:lvl>
    <w:lvl w:ilvl="6">
      <w:start w:val="1"/>
      <w:numFmt w:val="decimal"/>
      <w:lvlText w:val="%1.%2.%3.%4.%5.%6.%7."/>
      <w:lvlJc w:val="left"/>
      <w:pPr>
        <w:ind w:left="1440" w:hanging="1440"/>
      </w:pPr>
      <w:rPr>
        <w:rFonts w:hint="default"/>
        <w:b/>
        <w:color w:val="000000"/>
        <w:sz w:val="23"/>
      </w:rPr>
    </w:lvl>
    <w:lvl w:ilvl="7">
      <w:start w:val="1"/>
      <w:numFmt w:val="decimal"/>
      <w:lvlText w:val="%1.%2.%3.%4.%5.%6.%7.%8."/>
      <w:lvlJc w:val="left"/>
      <w:pPr>
        <w:ind w:left="1800" w:hanging="1800"/>
      </w:pPr>
      <w:rPr>
        <w:rFonts w:hint="default"/>
        <w:b/>
        <w:color w:val="000000"/>
        <w:sz w:val="23"/>
      </w:rPr>
    </w:lvl>
    <w:lvl w:ilvl="8">
      <w:start w:val="1"/>
      <w:numFmt w:val="decimal"/>
      <w:lvlText w:val="%1.%2.%3.%4.%5.%6.%7.%8.%9."/>
      <w:lvlJc w:val="left"/>
      <w:pPr>
        <w:ind w:left="1800" w:hanging="1800"/>
      </w:pPr>
      <w:rPr>
        <w:rFonts w:hint="default"/>
        <w:b/>
        <w:color w:val="000000"/>
        <w:sz w:val="23"/>
      </w:rPr>
    </w:lvl>
  </w:abstractNum>
  <w:abstractNum w:abstractNumId="13" w15:restartNumberingAfterBreak="0">
    <w:nsid w:val="784843DC"/>
    <w:multiLevelType w:val="multilevel"/>
    <w:tmpl w:val="6B06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DF378B"/>
    <w:multiLevelType w:val="multilevel"/>
    <w:tmpl w:val="6B06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A57BFD"/>
    <w:multiLevelType w:val="hybridMultilevel"/>
    <w:tmpl w:val="1844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6862735">
    <w:abstractNumId w:val="15"/>
  </w:num>
  <w:num w:numId="2" w16cid:durableId="1585451173">
    <w:abstractNumId w:val="7"/>
  </w:num>
  <w:num w:numId="3" w16cid:durableId="1154907240">
    <w:abstractNumId w:val="10"/>
  </w:num>
  <w:num w:numId="4" w16cid:durableId="2142720807">
    <w:abstractNumId w:val="2"/>
  </w:num>
  <w:num w:numId="5" w16cid:durableId="1468359134">
    <w:abstractNumId w:val="3"/>
  </w:num>
  <w:num w:numId="6" w16cid:durableId="755908571">
    <w:abstractNumId w:val="8"/>
  </w:num>
  <w:num w:numId="7" w16cid:durableId="2065786204">
    <w:abstractNumId w:val="0"/>
  </w:num>
  <w:num w:numId="8" w16cid:durableId="1411542913">
    <w:abstractNumId w:val="6"/>
  </w:num>
  <w:num w:numId="9" w16cid:durableId="522599350">
    <w:abstractNumId w:val="13"/>
  </w:num>
  <w:num w:numId="10" w16cid:durableId="210314871">
    <w:abstractNumId w:val="14"/>
  </w:num>
  <w:num w:numId="11" w16cid:durableId="1669481852">
    <w:abstractNumId w:val="9"/>
  </w:num>
  <w:num w:numId="12" w16cid:durableId="1313827285">
    <w:abstractNumId w:val="11"/>
  </w:num>
  <w:num w:numId="13" w16cid:durableId="2047369400">
    <w:abstractNumId w:val="4"/>
  </w:num>
  <w:num w:numId="14" w16cid:durableId="531453633">
    <w:abstractNumId w:val="12"/>
  </w:num>
  <w:num w:numId="15" w16cid:durableId="1093430902">
    <w:abstractNumId w:val="5"/>
  </w:num>
  <w:num w:numId="16" w16cid:durableId="1850412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9F"/>
    <w:rsid w:val="00090097"/>
    <w:rsid w:val="00100159"/>
    <w:rsid w:val="001F4EB6"/>
    <w:rsid w:val="00234A9F"/>
    <w:rsid w:val="00325F80"/>
    <w:rsid w:val="003752AD"/>
    <w:rsid w:val="003C7379"/>
    <w:rsid w:val="00460D2E"/>
    <w:rsid w:val="004A40BD"/>
    <w:rsid w:val="004E203D"/>
    <w:rsid w:val="00520E59"/>
    <w:rsid w:val="00537CDE"/>
    <w:rsid w:val="005C08E7"/>
    <w:rsid w:val="005D53F0"/>
    <w:rsid w:val="00637912"/>
    <w:rsid w:val="00637B67"/>
    <w:rsid w:val="00710B92"/>
    <w:rsid w:val="007C246C"/>
    <w:rsid w:val="008A1BD8"/>
    <w:rsid w:val="009B5D9F"/>
    <w:rsid w:val="009F252E"/>
    <w:rsid w:val="00A03097"/>
    <w:rsid w:val="00A35CE6"/>
    <w:rsid w:val="00AC0A29"/>
    <w:rsid w:val="00C92955"/>
    <w:rsid w:val="00CB756D"/>
    <w:rsid w:val="00D1113C"/>
    <w:rsid w:val="00D262F8"/>
    <w:rsid w:val="00DA1781"/>
    <w:rsid w:val="00E01745"/>
    <w:rsid w:val="00F1482C"/>
    <w:rsid w:val="00FC7B06"/>
    <w:rsid w:val="00FF1E33"/>
    <w:rsid w:val="01059B18"/>
    <w:rsid w:val="134C0FE1"/>
    <w:rsid w:val="26A4BFC2"/>
    <w:rsid w:val="59D91B6A"/>
    <w:rsid w:val="6BEA1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456F68"/>
  <w15:chartTrackingRefBased/>
  <w15:docId w15:val="{C8F634B7-D84C-4D66-A578-A7934C19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3F0"/>
    <w:pPr>
      <w:spacing w:after="0" w:line="240" w:lineRule="auto"/>
    </w:pPr>
    <w:rPr>
      <w:rFonts w:ascii="Arial" w:hAnsi="Arial" w:cs="Arial"/>
    </w:rPr>
  </w:style>
  <w:style w:type="paragraph" w:styleId="Heading1">
    <w:name w:val="heading 1"/>
    <w:next w:val="Normal"/>
    <w:link w:val="Heading1Char"/>
    <w:uiPriority w:val="9"/>
    <w:unhideWhenUsed/>
    <w:qFormat/>
    <w:rsid w:val="00234A9F"/>
    <w:pPr>
      <w:keepNext/>
      <w:keepLines/>
      <w:spacing w:after="0"/>
      <w:ind w:left="10" w:right="4" w:hanging="10"/>
      <w:outlineLvl w:val="0"/>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A9F"/>
    <w:rPr>
      <w:rFonts w:ascii="Arial" w:eastAsia="Arial" w:hAnsi="Arial" w:cs="Arial"/>
      <w:b/>
      <w:color w:val="000000"/>
      <w:sz w:val="24"/>
      <w:lang w:eastAsia="en-GB"/>
    </w:rPr>
  </w:style>
  <w:style w:type="paragraph" w:styleId="Header">
    <w:name w:val="header"/>
    <w:basedOn w:val="Normal"/>
    <w:link w:val="HeaderChar"/>
    <w:uiPriority w:val="99"/>
    <w:unhideWhenUsed/>
    <w:rsid w:val="00A35CE6"/>
    <w:pPr>
      <w:tabs>
        <w:tab w:val="center" w:pos="4513"/>
        <w:tab w:val="right" w:pos="9026"/>
      </w:tabs>
    </w:pPr>
  </w:style>
  <w:style w:type="character" w:customStyle="1" w:styleId="HeaderChar">
    <w:name w:val="Header Char"/>
    <w:basedOn w:val="DefaultParagraphFont"/>
    <w:link w:val="Header"/>
    <w:uiPriority w:val="99"/>
    <w:rsid w:val="00A35CE6"/>
    <w:rPr>
      <w:rFonts w:ascii="Arial" w:hAnsi="Arial" w:cs="Arial"/>
    </w:rPr>
  </w:style>
  <w:style w:type="paragraph" w:styleId="Footer">
    <w:name w:val="footer"/>
    <w:basedOn w:val="Normal"/>
    <w:link w:val="FooterChar"/>
    <w:uiPriority w:val="99"/>
    <w:unhideWhenUsed/>
    <w:rsid w:val="00A35CE6"/>
    <w:pPr>
      <w:tabs>
        <w:tab w:val="center" w:pos="4513"/>
        <w:tab w:val="right" w:pos="9026"/>
      </w:tabs>
    </w:pPr>
  </w:style>
  <w:style w:type="character" w:customStyle="1" w:styleId="FooterChar">
    <w:name w:val="Footer Char"/>
    <w:basedOn w:val="DefaultParagraphFont"/>
    <w:link w:val="Footer"/>
    <w:uiPriority w:val="99"/>
    <w:rsid w:val="00A35CE6"/>
    <w:rPr>
      <w:rFonts w:ascii="Arial" w:hAnsi="Arial" w:cs="Arial"/>
    </w:rPr>
  </w:style>
  <w:style w:type="paragraph" w:customStyle="1" w:styleId="Default">
    <w:name w:val="Default"/>
    <w:rsid w:val="007C246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C2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1E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E33"/>
    <w:rPr>
      <w:rFonts w:ascii="Segoe UI" w:hAnsi="Segoe UI" w:cs="Segoe UI"/>
      <w:sz w:val="18"/>
      <w:szCs w:val="18"/>
    </w:rPr>
  </w:style>
  <w:style w:type="paragraph" w:styleId="ListParagraph">
    <w:name w:val="List Paragraph"/>
    <w:basedOn w:val="Normal"/>
    <w:uiPriority w:val="34"/>
    <w:qFormat/>
    <w:rsid w:val="003C7379"/>
    <w:pPr>
      <w:spacing w:after="160" w:line="259"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452945F461F4488ACD942157F48100" ma:contentTypeVersion="19" ma:contentTypeDescription="Create a new document." ma:contentTypeScope="" ma:versionID="bb71a06188c387ba9462917092b36094">
  <xsd:schema xmlns:xsd="http://www.w3.org/2001/XMLSchema" xmlns:xs="http://www.w3.org/2001/XMLSchema" xmlns:p="http://schemas.microsoft.com/office/2006/metadata/properties" xmlns:ns2="d7cb4aae-2d04-4d86-b334-6236eeda946a" xmlns:ns3="f331c30f-c380-46cf-b1c7-10f881d18fbd" targetNamespace="http://schemas.microsoft.com/office/2006/metadata/properties" ma:root="true" ma:fieldsID="9bb7566d5dffeaa2616fd5202217766b" ns2:_="" ns3:_="">
    <xsd:import namespace="d7cb4aae-2d04-4d86-b334-6236eeda946a"/>
    <xsd:import namespace="f331c30f-c380-46cf-b1c7-10f881d18f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b4aae-2d04-4d86-b334-6236eeda9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e31a9cb-afdf-4f79-954d-e7cb524dc5c6"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1c30f-c380-46cf-b1c7-10f881d18f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bee9fbd-0e86-41fb-9240-50e5bbb85905}" ma:internalName="TaxCatchAll" ma:showField="CatchAllData" ma:web="f331c30f-c380-46cf-b1c7-10f881d18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331c30f-c380-46cf-b1c7-10f881d18fbd" xsi:nil="true"/>
    <lcf76f155ced4ddcb4097134ff3c332f xmlns="d7cb4aae-2d04-4d86-b334-6236eeda946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3D0FB-6A0D-4249-9006-8BF64AB36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b4aae-2d04-4d86-b334-6236eeda946a"/>
    <ds:schemaRef ds:uri="f331c30f-c380-46cf-b1c7-10f881d18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7A851-9E41-4E9B-96E6-661CBEA1FA6F}">
  <ds:schemaRefs>
    <ds:schemaRef ds:uri="http://schemas.openxmlformats.org/officeDocument/2006/bibliography"/>
  </ds:schemaRefs>
</ds:datastoreItem>
</file>

<file path=customXml/itemProps3.xml><?xml version="1.0" encoding="utf-8"?>
<ds:datastoreItem xmlns:ds="http://schemas.openxmlformats.org/officeDocument/2006/customXml" ds:itemID="{7645E68A-A1F0-4E77-BE28-87F625A2DC0B}">
  <ds:schemaRefs>
    <ds:schemaRef ds:uri="http://schemas.microsoft.com/office/2006/metadata/properties"/>
    <ds:schemaRef ds:uri="http://schemas.microsoft.com/office/infopath/2007/PartnerControls"/>
    <ds:schemaRef ds:uri="f331c30f-c380-46cf-b1c7-10f881d18fbd"/>
    <ds:schemaRef ds:uri="d7cb4aae-2d04-4d86-b334-6236eeda946a"/>
  </ds:schemaRefs>
</ds:datastoreItem>
</file>

<file path=customXml/itemProps4.xml><?xml version="1.0" encoding="utf-8"?>
<ds:datastoreItem xmlns:ds="http://schemas.openxmlformats.org/officeDocument/2006/customXml" ds:itemID="{121A7DE1-01E4-41BA-AD75-152DD4E72A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721</Words>
  <Characters>4114</Characters>
  <Application>Microsoft Office Word</Application>
  <DocSecurity>0</DocSecurity>
  <Lines>34</Lines>
  <Paragraphs>9</Paragraphs>
  <ScaleCrop>false</ScaleCrop>
  <Company>Microsoft</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Murphy</dc:creator>
  <cp:keywords/>
  <dc:description/>
  <cp:lastModifiedBy>Megan Knox</cp:lastModifiedBy>
  <cp:revision>19</cp:revision>
  <cp:lastPrinted>2017-08-17T11:10:00Z</cp:lastPrinted>
  <dcterms:created xsi:type="dcterms:W3CDTF">2017-08-17T09:12:00Z</dcterms:created>
  <dcterms:modified xsi:type="dcterms:W3CDTF">2025-09-01T11:44:00Z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0x01010027452945F461F4488ACD942157F48100</vt:lpwstr>
  </property>
  <property fmtid="{D5CDD505-2E9C-101B-9397-08002B2CF9AE}" pid="3" name="MediaServiceImageTags">
    <vt:lpwstr/>
  </property>
</Properties>
</file>